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81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4C25A2" w:rsidRPr="00977CE0" w:rsidTr="001B4FCE"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4C25A2" w:rsidRPr="00977CE0" w:rsidRDefault="00E35A5B" w:rsidP="0078708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4"/>
                <w:szCs w:val="24"/>
              </w:rPr>
              <w:t xml:space="preserve">PAUTA DA </w:t>
            </w:r>
            <w:r w:rsidR="00007890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 xml:space="preserve">ª REUNIÃO </w:t>
            </w:r>
            <w:r w:rsidR="0078708F">
              <w:rPr>
                <w:rFonts w:ascii="Book Antiqua" w:hAnsi="Book Antiqua"/>
                <w:b/>
                <w:sz w:val="24"/>
                <w:szCs w:val="24"/>
              </w:rPr>
              <w:t>ORDI</w:t>
            </w:r>
            <w:r w:rsidR="004C25A2" w:rsidRPr="00977CE0">
              <w:rPr>
                <w:rFonts w:ascii="Book Antiqua" w:hAnsi="Book Antiqua"/>
                <w:b/>
                <w:sz w:val="24"/>
                <w:szCs w:val="24"/>
              </w:rPr>
              <w:t>NÁRIA D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A – CIR </w:t>
            </w:r>
            <w:r w:rsidR="000C0978">
              <w:rPr>
                <w:rFonts w:ascii="Book Antiqua" w:hAnsi="Book Antiqua"/>
                <w:b/>
                <w:sz w:val="24"/>
                <w:szCs w:val="24"/>
              </w:rPr>
              <w:t>TELES PIRES</w:t>
            </w:r>
            <w:r w:rsidR="004C25A2">
              <w:rPr>
                <w:rFonts w:ascii="Book Antiqua" w:hAnsi="Book Antiqua"/>
                <w:b/>
                <w:sz w:val="24"/>
                <w:szCs w:val="24"/>
              </w:rPr>
              <w:t xml:space="preserve"> DO</w:t>
            </w:r>
            <w:r w:rsidR="00487B99">
              <w:rPr>
                <w:rFonts w:ascii="Book Antiqua" w:hAnsi="Book Antiqua"/>
                <w:b/>
                <w:sz w:val="24"/>
                <w:szCs w:val="24"/>
              </w:rPr>
              <w:t xml:space="preserve"> MT</w:t>
            </w:r>
          </w:p>
        </w:tc>
      </w:tr>
      <w:tr w:rsidR="004C25A2" w:rsidRPr="00977CE0" w:rsidTr="001B4FCE">
        <w:tc>
          <w:tcPr>
            <w:tcW w:w="9781" w:type="dxa"/>
            <w:shd w:val="clear" w:color="auto" w:fill="auto"/>
          </w:tcPr>
          <w:p w:rsidR="004C25A2" w:rsidRPr="00104EF6" w:rsidRDefault="004C25A2" w:rsidP="00B560BF">
            <w:pPr>
              <w:rPr>
                <w:rFonts w:ascii="Book Antiqua" w:hAnsi="Book Antiqua"/>
                <w:sz w:val="20"/>
                <w:szCs w:val="20"/>
              </w:rPr>
            </w:pPr>
            <w:r w:rsidRPr="00104EF6">
              <w:rPr>
                <w:rFonts w:ascii="Book Antiqua" w:hAnsi="Book Antiqua"/>
                <w:b/>
                <w:sz w:val="20"/>
                <w:szCs w:val="20"/>
              </w:rPr>
              <w:t>DATA:</w:t>
            </w:r>
            <w:r w:rsidR="00295F7B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B560BF">
              <w:rPr>
                <w:rFonts w:ascii="Book Antiqua" w:hAnsi="Book Antiqua"/>
                <w:sz w:val="20"/>
                <w:szCs w:val="20"/>
              </w:rPr>
              <w:t>13</w:t>
            </w:r>
            <w:r w:rsidR="0029635D">
              <w:rPr>
                <w:rFonts w:ascii="Book Antiqua" w:hAnsi="Book Antiqua"/>
                <w:sz w:val="20"/>
                <w:szCs w:val="20"/>
              </w:rPr>
              <w:t>/</w:t>
            </w:r>
            <w:r w:rsidR="00007890">
              <w:rPr>
                <w:rFonts w:ascii="Book Antiqua" w:hAnsi="Book Antiqua"/>
                <w:sz w:val="20"/>
                <w:szCs w:val="20"/>
              </w:rPr>
              <w:t>1</w:t>
            </w:r>
            <w:r w:rsidR="00B560BF">
              <w:rPr>
                <w:rFonts w:ascii="Book Antiqua" w:hAnsi="Book Antiqua"/>
                <w:sz w:val="20"/>
                <w:szCs w:val="20"/>
              </w:rPr>
              <w:t>1</w:t>
            </w:r>
            <w:r w:rsidR="0039099F">
              <w:rPr>
                <w:rFonts w:ascii="Book Antiqua" w:hAnsi="Book Antiqua"/>
                <w:sz w:val="20"/>
                <w:szCs w:val="20"/>
              </w:rPr>
              <w:t>/</w:t>
            </w:r>
            <w:r w:rsidR="009D4EF3">
              <w:rPr>
                <w:rFonts w:ascii="Book Antiqua" w:hAnsi="Book Antiqua"/>
                <w:sz w:val="20"/>
                <w:szCs w:val="20"/>
              </w:rPr>
              <w:t>201</w:t>
            </w:r>
            <w:r w:rsidR="00D038D6">
              <w:rPr>
                <w:rFonts w:ascii="Book Antiqua" w:hAnsi="Book Antiqua"/>
                <w:sz w:val="20"/>
                <w:szCs w:val="20"/>
              </w:rPr>
              <w:t>8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LOCAL</w:t>
            </w:r>
            <w:r w:rsidR="00AE13DB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="00D203DF">
              <w:rPr>
                <w:rFonts w:ascii="Book Antiqua" w:hAnsi="Book Antiqua"/>
                <w:sz w:val="20"/>
                <w:szCs w:val="20"/>
              </w:rPr>
              <w:t>SECITEC</w:t>
            </w:r>
            <w:r w:rsidR="001649A4">
              <w:rPr>
                <w:rFonts w:ascii="Book Antiqua" w:hAnsi="Book Antiqua"/>
                <w:sz w:val="20"/>
                <w:szCs w:val="20"/>
              </w:rPr>
              <w:t xml:space="preserve">             </w:t>
            </w:r>
            <w:r w:rsidR="00487B9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87B99" w:rsidRPr="00104EF6">
              <w:rPr>
                <w:rFonts w:ascii="Book Antiqua" w:hAnsi="Book Antiqua"/>
                <w:b/>
                <w:sz w:val="20"/>
                <w:szCs w:val="20"/>
              </w:rPr>
              <w:t>HORÁRIO</w:t>
            </w:r>
            <w:r w:rsidR="00487B99" w:rsidRPr="00104EF6">
              <w:rPr>
                <w:rFonts w:ascii="Book Antiqua" w:hAnsi="Book Antiqua"/>
                <w:sz w:val="20"/>
                <w:szCs w:val="20"/>
              </w:rPr>
              <w:t>:</w:t>
            </w:r>
            <w:r w:rsidR="00795B06" w:rsidRPr="00104EF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Start"/>
            <w:r w:rsidR="0078708F" w:rsidRPr="007935FD">
              <w:rPr>
                <w:rFonts w:ascii="Book Antiqua" w:hAnsi="Book Antiqua"/>
                <w:sz w:val="20"/>
                <w:szCs w:val="20"/>
              </w:rPr>
              <w:t>13</w:t>
            </w:r>
            <w:r w:rsidR="007935FD" w:rsidRPr="007935FD">
              <w:rPr>
                <w:rFonts w:ascii="Book Antiqua" w:hAnsi="Book Antiqua"/>
                <w:sz w:val="20"/>
                <w:szCs w:val="20"/>
              </w:rPr>
              <w:t>:0</w:t>
            </w:r>
            <w:r w:rsidR="00C51BF7" w:rsidRPr="007935FD">
              <w:rPr>
                <w:rFonts w:ascii="Book Antiqua" w:hAnsi="Book Antiqua"/>
                <w:sz w:val="20"/>
                <w:szCs w:val="20"/>
              </w:rPr>
              <w:t>0</w:t>
            </w:r>
            <w:proofErr w:type="gramEnd"/>
            <w:r w:rsidR="00C51BF7" w:rsidRPr="007935FD">
              <w:rPr>
                <w:rFonts w:ascii="Book Antiqua" w:hAnsi="Book Antiqua"/>
                <w:sz w:val="20"/>
                <w:szCs w:val="20"/>
              </w:rPr>
              <w:t xml:space="preserve"> HORAS</w:t>
            </w:r>
          </w:p>
        </w:tc>
      </w:tr>
      <w:tr w:rsidR="004C25A2" w:rsidRPr="00977CE0" w:rsidTr="00091B9C">
        <w:tblPrEx>
          <w:shd w:val="clear" w:color="auto" w:fill="auto"/>
        </w:tblPrEx>
        <w:trPr>
          <w:trHeight w:val="296"/>
        </w:trPr>
        <w:tc>
          <w:tcPr>
            <w:tcW w:w="9781" w:type="dxa"/>
            <w:shd w:val="clear" w:color="auto" w:fill="76923C" w:themeFill="accent3" w:themeFillShade="BF"/>
          </w:tcPr>
          <w:p w:rsidR="00B96130" w:rsidRPr="00B9613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I – CONFERÊNCIA DE QUORUM </w:t>
            </w:r>
            <w:r w:rsidR="006A3F7D">
              <w:rPr>
                <w:rFonts w:ascii="Book Antiqua" w:hAnsi="Book Antiqua"/>
                <w:b/>
                <w:sz w:val="24"/>
                <w:szCs w:val="24"/>
              </w:rPr>
              <w:t>–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ABERTURA</w:t>
            </w:r>
            <w:r w:rsidR="003C1011">
              <w:rPr>
                <w:rFonts w:ascii="Book Antiqua" w:hAnsi="Book Antiqua"/>
                <w:b/>
                <w:sz w:val="24"/>
                <w:szCs w:val="24"/>
              </w:rPr>
              <w:t>- APROVAÇAO DE ATA</w:t>
            </w:r>
          </w:p>
        </w:tc>
      </w:tr>
      <w:tr w:rsidR="004C25A2" w:rsidRPr="00977CE0" w:rsidTr="002E5313">
        <w:tblPrEx>
          <w:shd w:val="clear" w:color="auto" w:fill="auto"/>
        </w:tblPrEx>
        <w:tc>
          <w:tcPr>
            <w:tcW w:w="9781" w:type="dxa"/>
            <w:shd w:val="clear" w:color="auto" w:fill="76923C" w:themeFill="accent3" w:themeFillShade="BF"/>
          </w:tcPr>
          <w:p w:rsidR="004C25A2" w:rsidRPr="00977CE0" w:rsidRDefault="004C25A2" w:rsidP="0086051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977CE0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1D7BC8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- TEMA PARA APRESENTAÇÃO</w:t>
            </w:r>
            <w:r>
              <w:rPr>
                <w:rFonts w:ascii="Book Antiqua" w:hAnsi="Book Antiqua"/>
                <w:b/>
                <w:sz w:val="24"/>
                <w:szCs w:val="24"/>
              </w:rPr>
              <w:t>, DISCUSSÃO</w:t>
            </w:r>
            <w:r w:rsidRPr="00977CE0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>PACTUAÇÃO</w:t>
            </w:r>
            <w:proofErr w:type="gramEnd"/>
          </w:p>
        </w:tc>
      </w:tr>
      <w:tr w:rsidR="00B96130" w:rsidRPr="000E46A6" w:rsidTr="00076316">
        <w:tblPrEx>
          <w:shd w:val="clear" w:color="auto" w:fill="auto"/>
        </w:tblPrEx>
        <w:trPr>
          <w:trHeight w:val="881"/>
        </w:trPr>
        <w:tc>
          <w:tcPr>
            <w:tcW w:w="9781" w:type="dxa"/>
          </w:tcPr>
          <w:p w:rsidR="00493FAB" w:rsidRPr="00493FAB" w:rsidRDefault="004A643E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>Orientações sobre documentos da Descentralização VISA</w:t>
            </w:r>
            <w:r w:rsidR="00493FAB">
              <w:rPr>
                <w:rFonts w:eastAsiaTheme="minorHAnsi"/>
                <w:bCs/>
                <w:color w:val="222222"/>
                <w:shd w:val="clear" w:color="auto" w:fill="FFFFFF"/>
                <w:lang w:eastAsia="en-US"/>
              </w:rPr>
              <w:t xml:space="preserve"> – </w:t>
            </w:r>
            <w:r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>Helena</w:t>
            </w:r>
            <w:r w:rsidR="00493FAB" w:rsidRPr="00493FAB">
              <w:rPr>
                <w:rFonts w:eastAsiaTheme="minorHAnsi"/>
                <w:b/>
                <w:bCs/>
                <w:color w:val="222222"/>
                <w:shd w:val="clear" w:color="auto" w:fill="FFFFFF"/>
                <w:lang w:eastAsia="en-US"/>
              </w:rPr>
              <w:t xml:space="preserve"> -ERSS</w:t>
            </w:r>
          </w:p>
          <w:p w:rsidR="00493FAB" w:rsidRPr="000A07B4" w:rsidRDefault="000A07B4" w:rsidP="000A07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proofErr w:type="spellStart"/>
            <w:r w:rsidRPr="000A07B4">
              <w:rPr>
                <w:rFonts w:eastAsiaTheme="minorHAnsi"/>
                <w:bCs/>
                <w:shd w:val="clear" w:color="auto" w:fill="FFFFFF"/>
                <w:lang w:eastAsia="en-US"/>
              </w:rPr>
              <w:t>Pactuação</w:t>
            </w:r>
            <w:proofErr w:type="spellEnd"/>
            <w:r w:rsidRPr="000A07B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de leitos hospitalares em saúde mental com a Asso</w:t>
            </w:r>
            <w:r w:rsidR="00DD5485">
              <w:rPr>
                <w:rFonts w:eastAsiaTheme="minorHAnsi"/>
                <w:bCs/>
                <w:shd w:val="clear" w:color="auto" w:fill="FFFFFF"/>
                <w:lang w:eastAsia="en-US"/>
              </w:rPr>
              <w:t>ciação Beneficente Paulo de Tars</w:t>
            </w:r>
            <w:r w:rsidRPr="000A07B4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o do município de </w:t>
            </w:r>
            <w:proofErr w:type="gramStart"/>
            <w:r w:rsidRPr="000A07B4">
              <w:rPr>
                <w:rFonts w:eastAsiaTheme="minorHAnsi"/>
                <w:bCs/>
                <w:shd w:val="clear" w:color="auto" w:fill="FFFFFF"/>
                <w:lang w:eastAsia="en-US"/>
              </w:rPr>
              <w:t>Rondonópolis.</w:t>
            </w:r>
            <w:proofErr w:type="gramEnd"/>
            <w:r w:rsidRPr="000A07B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– Rogerio </w:t>
            </w:r>
            <w:proofErr w:type="spellStart"/>
            <w:r w:rsidRPr="000A07B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Noro</w:t>
            </w:r>
            <w:proofErr w:type="spellEnd"/>
            <w:r w:rsidRPr="000A07B4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Ipiranga</w:t>
            </w:r>
          </w:p>
          <w:p w:rsidR="005F30CC" w:rsidRPr="00247098" w:rsidRDefault="00247098" w:rsidP="005F30C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247098">
              <w:rPr>
                <w:rFonts w:eastAsiaTheme="minorHAnsi"/>
                <w:bCs/>
                <w:shd w:val="clear" w:color="auto" w:fill="FFFFFF"/>
                <w:lang w:eastAsia="en-US"/>
              </w:rPr>
              <w:t>PPI</w:t>
            </w:r>
            <w:r w:rsidR="005F30CC" w:rsidRPr="00247098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5F30CC" w:rsidRPr="00247098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– </w:t>
            </w:r>
            <w:r w:rsidRPr="00247098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Claudia</w:t>
            </w:r>
          </w:p>
          <w:p w:rsidR="00493FAB" w:rsidRPr="00D1282A" w:rsidRDefault="009A2778" w:rsidP="00D1282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HAnsi"/>
                <w:b/>
                <w:bCs/>
                <w:shd w:val="clear" w:color="auto" w:fill="FFFFFF"/>
                <w:lang w:eastAsia="en-US"/>
              </w:rPr>
            </w:pPr>
            <w:r w:rsidRPr="009A2778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Memorando Circular nº 002/COMACSS/SPCA/SES/2018, Reorganização da referência para exames de Anatomopatológico, </w:t>
            </w:r>
            <w:proofErr w:type="spellStart"/>
            <w:r w:rsidRPr="009A2778">
              <w:rPr>
                <w:rFonts w:eastAsiaTheme="minorHAnsi"/>
                <w:bCs/>
                <w:shd w:val="clear" w:color="auto" w:fill="FFFFFF"/>
                <w:lang w:eastAsia="en-US"/>
              </w:rPr>
              <w:t>Citopatológico</w:t>
            </w:r>
            <w:proofErr w:type="spellEnd"/>
            <w:r w:rsidRPr="009A2778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e </w:t>
            </w:r>
            <w:proofErr w:type="spellStart"/>
            <w:r w:rsidRPr="009A2778">
              <w:rPr>
                <w:rFonts w:eastAsiaTheme="minorHAnsi"/>
                <w:bCs/>
                <w:shd w:val="clear" w:color="auto" w:fill="FFFFFF"/>
                <w:lang w:eastAsia="en-US"/>
              </w:rPr>
              <w:t>Imunohistoquímico</w:t>
            </w:r>
            <w:proofErr w:type="spellEnd"/>
            <w:r w:rsidR="00D1282A">
              <w:rPr>
                <w:rFonts w:eastAsiaTheme="minorHAnsi"/>
                <w:bCs/>
                <w:shd w:val="clear" w:color="auto" w:fill="FFFFFF"/>
                <w:lang w:eastAsia="en-US"/>
              </w:rPr>
              <w:t>, e Memoranda Circular n° 011/SPCA/SES/2018</w:t>
            </w:r>
            <w:r w:rsidRPr="009A2778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. </w:t>
            </w:r>
            <w:r w:rsidRPr="00D1282A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Lindalva</w:t>
            </w:r>
            <w:r w:rsidR="00493FAB" w:rsidRPr="00D1282A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 ERSS</w:t>
            </w:r>
          </w:p>
          <w:p w:rsidR="00493FAB" w:rsidRPr="00E401F2" w:rsidRDefault="00E401F2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E401F2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Processo n° 183015/2018, REGULAÇÃO PACIENTES DE </w:t>
            </w:r>
            <w:proofErr w:type="spellStart"/>
            <w:r>
              <w:rPr>
                <w:rFonts w:eastAsiaTheme="minorHAnsi"/>
                <w:bCs/>
                <w:shd w:val="clear" w:color="auto" w:fill="FFFFFF"/>
                <w:lang w:eastAsia="en-US"/>
              </w:rPr>
              <w:t>Tapurah</w:t>
            </w:r>
            <w:proofErr w:type="spellEnd"/>
            <w:r w:rsidRPr="00E401F2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para Sorriso</w:t>
            </w:r>
            <w:r w:rsidR="00493FAB" w:rsidRPr="00E401F2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– </w:t>
            </w:r>
            <w:r w:rsidRPr="00E401F2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Francisca</w:t>
            </w:r>
            <w:r w:rsidR="00493FAB" w:rsidRPr="00E401F2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</w:t>
            </w:r>
            <w:proofErr w:type="gramStart"/>
            <w:r w:rsidR="00493FAB" w:rsidRPr="00E401F2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ERSS</w:t>
            </w:r>
            <w:proofErr w:type="gramEnd"/>
          </w:p>
          <w:p w:rsidR="00C8093F" w:rsidRPr="00C8093F" w:rsidRDefault="00E401F2" w:rsidP="00C8093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color w:val="FF0000"/>
                <w:shd w:val="clear" w:color="auto" w:fill="FFFFFF"/>
                <w:lang w:eastAsia="en-US"/>
              </w:rPr>
            </w:pPr>
            <w:proofErr w:type="spellStart"/>
            <w:r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>Vigilancia</w:t>
            </w:r>
            <w:proofErr w:type="spellEnd"/>
            <w:r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Ambiental</w:t>
            </w:r>
            <w:proofErr w:type="gramStart"/>
            <w:r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r w:rsidR="00493FAB"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</w:t>
            </w:r>
            <w:proofErr w:type="gramEnd"/>
            <w:r w:rsidR="00493FAB"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– </w:t>
            </w:r>
            <w:r w:rsidRPr="00C8093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Sirlei</w:t>
            </w:r>
            <w:r w:rsidR="00687889" w:rsidRPr="00C8093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-</w:t>
            </w:r>
            <w:r w:rsidR="00493FAB" w:rsidRPr="00C8093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ERSS</w:t>
            </w:r>
          </w:p>
          <w:p w:rsidR="00C8093F" w:rsidRPr="00C8093F" w:rsidRDefault="00C8093F" w:rsidP="00C8093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Manejo Clínico Dengue - </w:t>
            </w:r>
            <w:r w:rsidRPr="00C8093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Elaine- ERSS</w:t>
            </w:r>
          </w:p>
          <w:p w:rsidR="000B5BA7" w:rsidRPr="00C8093F" w:rsidRDefault="00C8093F" w:rsidP="00C8093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C8093F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Planos Municipais de Contingência da Dengue </w:t>
            </w:r>
            <w:r w:rsidR="000B5BA7" w:rsidRPr="00C8093F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- Elaine- ERSS</w:t>
            </w:r>
          </w:p>
          <w:p w:rsidR="003331CE" w:rsidRPr="00DD5485" w:rsidRDefault="000A5945" w:rsidP="00493FA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A643E">
              <w:rPr>
                <w:rFonts w:eastAsiaTheme="minorHAnsi"/>
                <w:bCs/>
                <w:color w:val="FF0000"/>
                <w:shd w:val="clear" w:color="auto" w:fill="FFFFFF"/>
                <w:lang w:eastAsia="en-US"/>
              </w:rPr>
              <w:t xml:space="preserve"> </w:t>
            </w:r>
            <w:r w:rsidR="00DD5485" w:rsidRPr="00DD5485">
              <w:rPr>
                <w:rFonts w:eastAsiaTheme="minorHAnsi"/>
                <w:bCs/>
                <w:shd w:val="clear" w:color="auto" w:fill="FFFFFF"/>
                <w:lang w:eastAsia="en-US"/>
              </w:rPr>
              <w:t>Conferencia</w:t>
            </w:r>
            <w:r w:rsidR="0024072D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municipal</w:t>
            </w:r>
            <w:r w:rsidR="00DD5485" w:rsidRPr="00DD5485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de Saúde</w:t>
            </w:r>
            <w:r w:rsidR="00541EE4" w:rsidRPr="00DD5485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-</w:t>
            </w:r>
            <w:r w:rsidR="00650C43" w:rsidRPr="00DD5485">
              <w:t xml:space="preserve"> </w:t>
            </w:r>
            <w:r w:rsidR="00650C43" w:rsidRPr="00DD5485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Iraci</w:t>
            </w:r>
            <w:proofErr w:type="gramStart"/>
            <w:r w:rsidR="00650C43" w:rsidRPr="00DD5485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 </w:t>
            </w:r>
            <w:proofErr w:type="gramEnd"/>
            <w:r w:rsidR="00650C43" w:rsidRPr="00DD5485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C. Boni - </w:t>
            </w:r>
            <w:r w:rsidR="008B1E28" w:rsidRPr="00DD5485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ERSS</w:t>
            </w:r>
          </w:p>
          <w:p w:rsidR="00E13217" w:rsidRPr="001333E8" w:rsidRDefault="0024072D" w:rsidP="001333E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 xml:space="preserve">Fornecimento </w:t>
            </w:r>
            <w:r w:rsidR="001333E8">
              <w:rPr>
                <w:color w:val="222222"/>
              </w:rPr>
              <w:t xml:space="preserve">de teste de rápido para dengue, Zica e </w:t>
            </w:r>
            <w:proofErr w:type="spellStart"/>
            <w:r w:rsidR="001333E8">
              <w:rPr>
                <w:color w:val="222222"/>
              </w:rPr>
              <w:t>C</w:t>
            </w:r>
            <w:r>
              <w:rPr>
                <w:color w:val="222222"/>
              </w:rPr>
              <w:t>h</w:t>
            </w:r>
            <w:r w:rsidR="001333E8">
              <w:rPr>
                <w:color w:val="222222"/>
              </w:rPr>
              <w:t>icungunha</w:t>
            </w:r>
            <w:proofErr w:type="spellEnd"/>
            <w:r w:rsidR="001333E8">
              <w:rPr>
                <w:color w:val="222222"/>
              </w:rPr>
              <w:t xml:space="preserve"> </w:t>
            </w:r>
            <w:r w:rsidR="001333E8" w:rsidRPr="001333E8">
              <w:rPr>
                <w:b/>
                <w:color w:val="222222"/>
              </w:rPr>
              <w:t xml:space="preserve">– Marines B </w:t>
            </w:r>
            <w:r w:rsidR="001333E8">
              <w:rPr>
                <w:b/>
                <w:color w:val="222222"/>
              </w:rPr>
              <w:t>–</w:t>
            </w:r>
            <w:r w:rsidR="001333E8" w:rsidRPr="001333E8">
              <w:rPr>
                <w:b/>
                <w:color w:val="222222"/>
              </w:rPr>
              <w:t xml:space="preserve"> </w:t>
            </w:r>
            <w:proofErr w:type="gramStart"/>
            <w:r w:rsidR="001333E8" w:rsidRPr="001333E8">
              <w:rPr>
                <w:b/>
                <w:color w:val="222222"/>
              </w:rPr>
              <w:t>ERSS</w:t>
            </w:r>
            <w:proofErr w:type="gramEnd"/>
          </w:p>
          <w:p w:rsidR="001333E8" w:rsidRPr="00E13217" w:rsidRDefault="001333E8" w:rsidP="001333E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 xml:space="preserve">Disponibilidade do botijão de nitrogênio no ERSS - </w:t>
            </w:r>
            <w:r w:rsidRPr="001333E8">
              <w:rPr>
                <w:b/>
                <w:color w:val="222222"/>
              </w:rPr>
              <w:t>Marines B – ERSS</w:t>
            </w:r>
          </w:p>
        </w:tc>
      </w:tr>
    </w:tbl>
    <w:p w:rsidR="00B55A38" w:rsidRPr="00DF748E" w:rsidRDefault="00B55A38" w:rsidP="00860514">
      <w:pPr>
        <w:rPr>
          <w:rFonts w:ascii="Book Antiqua" w:hAnsi="Book Antiqua"/>
          <w:sz w:val="18"/>
          <w:szCs w:val="18"/>
        </w:rPr>
      </w:pPr>
    </w:p>
    <w:tbl>
      <w:tblPr>
        <w:tblStyle w:val="Tabelacomgrade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678"/>
        <w:gridCol w:w="4252"/>
      </w:tblGrid>
      <w:tr w:rsidR="004C25A2" w:rsidRPr="00DF748E" w:rsidTr="00CC3251">
        <w:tc>
          <w:tcPr>
            <w:tcW w:w="9781" w:type="dxa"/>
            <w:gridSpan w:val="4"/>
            <w:shd w:val="clear" w:color="auto" w:fill="76923C" w:themeFill="accent3" w:themeFillShade="BF"/>
          </w:tcPr>
          <w:p w:rsidR="004C25A2" w:rsidRPr="00DF748E" w:rsidRDefault="001D7BC8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</w:t>
            </w:r>
            <w:r w:rsidR="004C25A2" w:rsidRPr="00DF748E">
              <w:rPr>
                <w:rFonts w:ascii="Book Antiqua" w:hAnsi="Book Antiqua"/>
                <w:b/>
                <w:sz w:val="18"/>
                <w:szCs w:val="18"/>
              </w:rPr>
              <w:t xml:space="preserve"> – PACTUAÇÕES (RESOLUÇÕES CIR/MT)</w:t>
            </w:r>
          </w:p>
        </w:tc>
      </w:tr>
      <w:tr w:rsidR="004C25A2" w:rsidRPr="00DF748E" w:rsidTr="008B477C">
        <w:tc>
          <w:tcPr>
            <w:tcW w:w="851" w:type="dxa"/>
            <w:gridSpan w:val="2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N°</w:t>
            </w:r>
          </w:p>
        </w:tc>
        <w:tc>
          <w:tcPr>
            <w:tcW w:w="4678" w:type="dxa"/>
          </w:tcPr>
          <w:p w:rsidR="004C25A2" w:rsidRPr="00DF748E" w:rsidRDefault="004C25A2" w:rsidP="003E56A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C25A2" w:rsidRPr="00DF748E" w:rsidRDefault="004C25A2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ENCAMINHAMENTO</w:t>
            </w:r>
          </w:p>
        </w:tc>
      </w:tr>
      <w:tr w:rsidR="00B21449" w:rsidRPr="0010471D" w:rsidTr="008B477C">
        <w:trPr>
          <w:trHeight w:val="294"/>
        </w:trPr>
        <w:tc>
          <w:tcPr>
            <w:tcW w:w="851" w:type="dxa"/>
            <w:gridSpan w:val="2"/>
          </w:tcPr>
          <w:p w:rsidR="00B21449" w:rsidRPr="0042447E" w:rsidRDefault="00CB39E4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001</w:t>
            </w:r>
          </w:p>
        </w:tc>
        <w:tc>
          <w:tcPr>
            <w:tcW w:w="4678" w:type="dxa"/>
          </w:tcPr>
          <w:p w:rsidR="00B21449" w:rsidRPr="002B6796" w:rsidRDefault="00C54B88" w:rsidP="00B166B5">
            <w:pPr>
              <w:rPr>
                <w:rFonts w:ascii="Book Antiqua" w:hAnsi="Book Antiqua"/>
                <w:sz w:val="18"/>
                <w:szCs w:val="18"/>
              </w:rPr>
            </w:pPr>
            <w:r w:rsidRPr="00C54B88">
              <w:rPr>
                <w:rFonts w:ascii="Book Antiqua" w:hAnsi="Book Antiqua"/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C54B88">
              <w:rPr>
                <w:rFonts w:ascii="Book Antiqua" w:hAnsi="Book Antiqua"/>
                <w:sz w:val="18"/>
                <w:szCs w:val="18"/>
              </w:rPr>
              <w:t>Subanexo</w:t>
            </w:r>
            <w:proofErr w:type="spellEnd"/>
            <w:r w:rsidRPr="00C54B88">
              <w:rPr>
                <w:rFonts w:ascii="Book Antiqua" w:hAnsi="Book Antiqua"/>
                <w:sz w:val="18"/>
                <w:szCs w:val="18"/>
              </w:rPr>
              <w:t xml:space="preserve"> VI da RESOLUÇÃO CIB/MT Nº46 de 14 de junho de 2018 para o período de um ano do município de Lucas do Rio Verde da Região de Saúde Teles Pires do Estado de Mato Grosso.</w:t>
            </w:r>
          </w:p>
        </w:tc>
        <w:tc>
          <w:tcPr>
            <w:tcW w:w="4252" w:type="dxa"/>
          </w:tcPr>
          <w:p w:rsidR="00B21449" w:rsidRPr="00C54B88" w:rsidRDefault="00044066" w:rsidP="00C54B88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  <w:r w:rsidRPr="00C54B88">
              <w:rPr>
                <w:b/>
                <w:sz w:val="20"/>
                <w:szCs w:val="20"/>
              </w:rPr>
              <w:t xml:space="preserve">Resolução Comissão </w:t>
            </w:r>
            <w:proofErr w:type="spellStart"/>
            <w:r w:rsidRPr="00C54B88">
              <w:rPr>
                <w:b/>
                <w:sz w:val="20"/>
                <w:szCs w:val="20"/>
              </w:rPr>
              <w:t>Intergestores</w:t>
            </w:r>
            <w:proofErr w:type="spellEnd"/>
            <w:r w:rsidRPr="00C54B88">
              <w:rPr>
                <w:b/>
                <w:sz w:val="20"/>
                <w:szCs w:val="20"/>
              </w:rPr>
              <w:t xml:space="preserve"> Regional – CIR Teles Pires n°</w:t>
            </w:r>
            <w:r w:rsidR="00C54B88" w:rsidRPr="00C54B88">
              <w:rPr>
                <w:b/>
                <w:sz w:val="20"/>
                <w:szCs w:val="20"/>
              </w:rPr>
              <w:t xml:space="preserve"> </w:t>
            </w:r>
            <w:r w:rsidRPr="00C54B88">
              <w:rPr>
                <w:b/>
                <w:sz w:val="20"/>
                <w:szCs w:val="20"/>
              </w:rPr>
              <w:t>02</w:t>
            </w:r>
            <w:r w:rsidR="00C54B88" w:rsidRPr="00C54B88">
              <w:rPr>
                <w:b/>
                <w:sz w:val="20"/>
                <w:szCs w:val="20"/>
              </w:rPr>
              <w:t>3</w:t>
            </w:r>
            <w:r w:rsidRPr="00C54B88">
              <w:rPr>
                <w:b/>
                <w:sz w:val="20"/>
                <w:szCs w:val="20"/>
              </w:rPr>
              <w:t xml:space="preserve"> de </w:t>
            </w:r>
            <w:r w:rsidR="00C54B88" w:rsidRPr="00C54B88">
              <w:rPr>
                <w:b/>
                <w:sz w:val="20"/>
                <w:szCs w:val="20"/>
              </w:rPr>
              <w:t>novembro de</w:t>
            </w:r>
            <w:r w:rsidRPr="00C54B88">
              <w:rPr>
                <w:b/>
                <w:sz w:val="20"/>
                <w:szCs w:val="20"/>
              </w:rPr>
              <w:t xml:space="preserve"> 2018.</w:t>
            </w:r>
          </w:p>
        </w:tc>
      </w:tr>
      <w:tr w:rsidR="0075464D" w:rsidRPr="0010471D" w:rsidTr="008B477C">
        <w:trPr>
          <w:trHeight w:val="294"/>
        </w:trPr>
        <w:tc>
          <w:tcPr>
            <w:tcW w:w="851" w:type="dxa"/>
            <w:gridSpan w:val="2"/>
          </w:tcPr>
          <w:p w:rsidR="0075464D" w:rsidRPr="0042447E" w:rsidRDefault="0042447E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678" w:type="dxa"/>
          </w:tcPr>
          <w:p w:rsidR="00C54B88" w:rsidRPr="00C54B88" w:rsidRDefault="00C54B88" w:rsidP="00C54B88">
            <w:pPr>
              <w:rPr>
                <w:sz w:val="18"/>
                <w:szCs w:val="18"/>
              </w:rPr>
            </w:pPr>
            <w:r w:rsidRPr="00C54B88">
              <w:rPr>
                <w:sz w:val="18"/>
                <w:szCs w:val="18"/>
              </w:rPr>
              <w:t xml:space="preserve">Dispõe sobre a Aprovação da Programação de Ações de Vigilância Sanitária conforme </w:t>
            </w:r>
            <w:proofErr w:type="spellStart"/>
            <w:r w:rsidRPr="00C54B88">
              <w:rPr>
                <w:sz w:val="18"/>
                <w:szCs w:val="18"/>
              </w:rPr>
              <w:t>Subanexo</w:t>
            </w:r>
            <w:proofErr w:type="spellEnd"/>
            <w:r w:rsidRPr="00C54B88">
              <w:rPr>
                <w:sz w:val="18"/>
                <w:szCs w:val="18"/>
              </w:rPr>
              <w:t xml:space="preserve"> VI da RESOLUÇÃO CIB/MT Nº46 de 14 de junho de 2018 para o período de um ano do município de União do Sul da Região de Saúde Teles Pires do Estado de Mato Grosso. </w:t>
            </w:r>
          </w:p>
          <w:p w:rsidR="0075464D" w:rsidRPr="002B6796" w:rsidRDefault="0075464D" w:rsidP="0009366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85D69" w:rsidRDefault="00C54B88" w:rsidP="00C54B88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  <w:r w:rsidRPr="00C54B88">
              <w:rPr>
                <w:b/>
                <w:sz w:val="20"/>
                <w:szCs w:val="20"/>
              </w:rPr>
              <w:t xml:space="preserve">Resolução Comissão </w:t>
            </w:r>
            <w:proofErr w:type="spellStart"/>
            <w:r w:rsidRPr="00C54B88">
              <w:rPr>
                <w:b/>
                <w:sz w:val="20"/>
                <w:szCs w:val="20"/>
              </w:rPr>
              <w:t>Intergestores</w:t>
            </w:r>
            <w:proofErr w:type="spellEnd"/>
            <w:r w:rsidRPr="00C54B88">
              <w:rPr>
                <w:b/>
                <w:sz w:val="20"/>
                <w:szCs w:val="20"/>
              </w:rPr>
              <w:t xml:space="preserve"> Regional – CIR Teles Pires n° 02</w:t>
            </w:r>
            <w:r>
              <w:rPr>
                <w:b/>
                <w:sz w:val="20"/>
                <w:szCs w:val="20"/>
              </w:rPr>
              <w:t>4</w:t>
            </w:r>
            <w:r w:rsidRPr="00C54B88">
              <w:rPr>
                <w:b/>
                <w:sz w:val="20"/>
                <w:szCs w:val="20"/>
              </w:rPr>
              <w:t xml:space="preserve"> de novembro de 2018</w:t>
            </w:r>
          </w:p>
          <w:p w:rsidR="00C3400D" w:rsidRPr="00485D69" w:rsidRDefault="00485D69" w:rsidP="00C54B88">
            <w:pPr>
              <w:spacing w:line="20" w:lineRule="atLeast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85D69">
              <w:rPr>
                <w:b/>
                <w:color w:val="FF0000"/>
                <w:sz w:val="20"/>
                <w:szCs w:val="20"/>
              </w:rPr>
              <w:t>RETIROU DE PAUTA</w:t>
            </w:r>
          </w:p>
          <w:p w:rsidR="00485D69" w:rsidRPr="00C54B88" w:rsidRDefault="00485D69" w:rsidP="00C54B88">
            <w:pPr>
              <w:spacing w:line="2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3400D" w:rsidRPr="0010471D" w:rsidTr="008B477C">
        <w:trPr>
          <w:trHeight w:val="294"/>
        </w:trPr>
        <w:tc>
          <w:tcPr>
            <w:tcW w:w="851" w:type="dxa"/>
            <w:gridSpan w:val="2"/>
          </w:tcPr>
          <w:p w:rsidR="00C3400D" w:rsidRPr="0042447E" w:rsidRDefault="00C3400D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678" w:type="dxa"/>
          </w:tcPr>
          <w:p w:rsidR="00C3400D" w:rsidRPr="002B6796" w:rsidRDefault="00143600" w:rsidP="00DC573F">
            <w:pPr>
              <w:rPr>
                <w:sz w:val="18"/>
                <w:szCs w:val="18"/>
              </w:rPr>
            </w:pPr>
            <w:r w:rsidRPr="00143600">
              <w:rPr>
                <w:sz w:val="18"/>
                <w:szCs w:val="18"/>
              </w:rPr>
              <w:t>Dispõe sobre a reprogramação da proposta oriunda de Emenda Parlamentar N° 13665.242000/1140-01 para aquisição de Equipamento/Material Permanente, para atender a Secretaria Municipal de Saúde do município de Claudia, localizado na Região de Saúde Teles Pires do Estado de Mato Grosso.</w:t>
            </w:r>
          </w:p>
        </w:tc>
        <w:tc>
          <w:tcPr>
            <w:tcW w:w="4252" w:type="dxa"/>
          </w:tcPr>
          <w:p w:rsidR="00C3400D" w:rsidRDefault="00143600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143600">
              <w:rPr>
                <w:b/>
                <w:color w:val="000000"/>
                <w:sz w:val="20"/>
                <w:szCs w:val="20"/>
              </w:rPr>
              <w:t xml:space="preserve">Resolução Comissão </w:t>
            </w:r>
            <w:proofErr w:type="spellStart"/>
            <w:r w:rsidRPr="00143600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143600">
              <w:rPr>
                <w:b/>
                <w:color w:val="000000"/>
                <w:sz w:val="20"/>
                <w:szCs w:val="20"/>
              </w:rPr>
              <w:t xml:space="preserve"> Regional – CIR Teles Pires n° 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143600">
              <w:rPr>
                <w:b/>
                <w:color w:val="000000"/>
                <w:sz w:val="20"/>
                <w:szCs w:val="20"/>
              </w:rPr>
              <w:t xml:space="preserve"> de novembro de 2018</w:t>
            </w:r>
          </w:p>
          <w:p w:rsidR="00A746AB" w:rsidRDefault="00A746AB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746AB" w:rsidRDefault="00A746AB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746AB" w:rsidRDefault="00A746AB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746AB" w:rsidRPr="00795B06" w:rsidRDefault="00A746AB" w:rsidP="00143600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6AB" w:rsidRPr="0010471D" w:rsidTr="008B477C">
        <w:trPr>
          <w:trHeight w:val="294"/>
        </w:trPr>
        <w:tc>
          <w:tcPr>
            <w:tcW w:w="851" w:type="dxa"/>
            <w:gridSpan w:val="2"/>
          </w:tcPr>
          <w:p w:rsidR="00A746AB" w:rsidRDefault="00A746AB" w:rsidP="0086051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678" w:type="dxa"/>
          </w:tcPr>
          <w:p w:rsidR="00A746AB" w:rsidRPr="00143600" w:rsidRDefault="00A746AB" w:rsidP="00DC573F">
            <w:pPr>
              <w:rPr>
                <w:sz w:val="18"/>
                <w:szCs w:val="18"/>
              </w:rPr>
            </w:pPr>
            <w:r w:rsidRPr="00A746AB">
              <w:rPr>
                <w:sz w:val="18"/>
                <w:szCs w:val="18"/>
              </w:rPr>
              <w:t xml:space="preserve">Dispõe sobre aprovação da proposta de Emenda Parlamentar Estadual para a aquisição de </w:t>
            </w:r>
            <w:proofErr w:type="spellStart"/>
            <w:r w:rsidRPr="00A746AB">
              <w:rPr>
                <w:sz w:val="18"/>
                <w:szCs w:val="18"/>
              </w:rPr>
              <w:t>Micro-onibus</w:t>
            </w:r>
            <w:proofErr w:type="spellEnd"/>
            <w:proofErr w:type="gramStart"/>
            <w:r w:rsidRPr="00A746AB">
              <w:rPr>
                <w:sz w:val="18"/>
                <w:szCs w:val="18"/>
              </w:rPr>
              <w:t xml:space="preserve">  </w:t>
            </w:r>
            <w:proofErr w:type="gramEnd"/>
            <w:r w:rsidRPr="00A746AB">
              <w:rPr>
                <w:sz w:val="18"/>
                <w:szCs w:val="18"/>
              </w:rPr>
              <w:t>Emenda nº. 107 no valor de R$ 300.000,00 (trezentos mil reais), para o município de União do sul/MT da Região de Saúde Teles Pires do Estado de Mato Grosso.</w:t>
            </w:r>
          </w:p>
        </w:tc>
        <w:tc>
          <w:tcPr>
            <w:tcW w:w="4252" w:type="dxa"/>
          </w:tcPr>
          <w:p w:rsidR="00A746AB" w:rsidRPr="00143600" w:rsidRDefault="00A746AB" w:rsidP="00A746A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A746AB">
              <w:rPr>
                <w:b/>
                <w:color w:val="000000"/>
                <w:sz w:val="20"/>
                <w:szCs w:val="20"/>
              </w:rPr>
              <w:t xml:space="preserve">Resolução Comissão </w:t>
            </w:r>
            <w:proofErr w:type="spellStart"/>
            <w:r w:rsidRPr="00A746AB">
              <w:rPr>
                <w:b/>
                <w:color w:val="000000"/>
                <w:sz w:val="20"/>
                <w:szCs w:val="20"/>
              </w:rPr>
              <w:t>Intergestores</w:t>
            </w:r>
            <w:proofErr w:type="spellEnd"/>
            <w:r w:rsidRPr="00A746AB">
              <w:rPr>
                <w:b/>
                <w:color w:val="000000"/>
                <w:sz w:val="20"/>
                <w:szCs w:val="20"/>
              </w:rPr>
              <w:t xml:space="preserve"> Regional – CIR Teles Pires n° 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746AB">
              <w:rPr>
                <w:b/>
                <w:color w:val="000000"/>
                <w:sz w:val="20"/>
                <w:szCs w:val="20"/>
              </w:rPr>
              <w:t xml:space="preserve"> de novembro de 2018</w:t>
            </w:r>
          </w:p>
        </w:tc>
      </w:tr>
      <w:tr w:rsidR="00624634" w:rsidRPr="00DF748E" w:rsidTr="00624634">
        <w:tc>
          <w:tcPr>
            <w:tcW w:w="9781" w:type="dxa"/>
            <w:gridSpan w:val="4"/>
            <w:tcBorders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624634" w:rsidRPr="00DF748E" w:rsidRDefault="007935FD" w:rsidP="007935FD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DF748E">
              <w:rPr>
                <w:rFonts w:ascii="Book Antiqua" w:hAnsi="Book Antiqua"/>
                <w:b/>
                <w:sz w:val="18"/>
                <w:szCs w:val="18"/>
              </w:rPr>
              <w:t>III – PACTUAÇÕES (</w:t>
            </w:r>
            <w:r>
              <w:rPr>
                <w:rFonts w:ascii="Book Antiqua" w:hAnsi="Book Antiqua"/>
                <w:b/>
                <w:sz w:val="18"/>
                <w:szCs w:val="18"/>
              </w:rPr>
              <w:t>PROPOSIÇÕES</w:t>
            </w:r>
            <w:r w:rsidRPr="00DF748E">
              <w:rPr>
                <w:rFonts w:ascii="Book Antiqua" w:hAnsi="Book Antiqua"/>
                <w:b/>
                <w:sz w:val="18"/>
                <w:szCs w:val="18"/>
              </w:rPr>
              <w:t xml:space="preserve"> CIR/MT)</w:t>
            </w:r>
          </w:p>
        </w:tc>
      </w:tr>
      <w:tr w:rsidR="00624634" w:rsidRPr="00DF748E" w:rsidTr="00890367">
        <w:trPr>
          <w:trHeight w:val="428"/>
        </w:trPr>
        <w:tc>
          <w:tcPr>
            <w:tcW w:w="709" w:type="dxa"/>
          </w:tcPr>
          <w:p w:rsidR="00624634" w:rsidRPr="0042447E" w:rsidRDefault="00624634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lastRenderedPageBreak/>
              <w:t>001</w:t>
            </w:r>
          </w:p>
        </w:tc>
        <w:tc>
          <w:tcPr>
            <w:tcW w:w="4820" w:type="dxa"/>
            <w:gridSpan w:val="2"/>
          </w:tcPr>
          <w:p w:rsidR="00A41423" w:rsidRPr="00A41423" w:rsidRDefault="00A41423" w:rsidP="00A41423">
            <w:pPr>
              <w:rPr>
                <w:sz w:val="18"/>
                <w:szCs w:val="18"/>
              </w:rPr>
            </w:pPr>
            <w:r w:rsidRPr="00A41423">
              <w:rPr>
                <w:sz w:val="18"/>
                <w:szCs w:val="18"/>
              </w:rPr>
              <w:t>Propõe a aprovação da implantação de 01 equipe do Núcleo de Apoio a Saúd</w:t>
            </w:r>
            <w:r w:rsidR="00247098">
              <w:rPr>
                <w:sz w:val="18"/>
                <w:szCs w:val="18"/>
              </w:rPr>
              <w:t xml:space="preserve">e da Família – NASF Modalidade </w:t>
            </w:r>
            <w:r w:rsidRPr="00A41423">
              <w:rPr>
                <w:sz w:val="18"/>
                <w:szCs w:val="18"/>
              </w:rPr>
              <w:t xml:space="preserve">II no município de </w:t>
            </w:r>
            <w:r w:rsidR="00247098">
              <w:rPr>
                <w:sz w:val="18"/>
                <w:szCs w:val="18"/>
              </w:rPr>
              <w:t>Feliz Natal</w:t>
            </w:r>
            <w:r w:rsidRPr="00A41423">
              <w:rPr>
                <w:sz w:val="18"/>
                <w:szCs w:val="18"/>
              </w:rPr>
              <w:t xml:space="preserve">/MT na Região de Saúde </w:t>
            </w:r>
            <w:proofErr w:type="gramStart"/>
            <w:r w:rsidRPr="00A41423">
              <w:rPr>
                <w:sz w:val="18"/>
                <w:szCs w:val="18"/>
              </w:rPr>
              <w:t>Teles</w:t>
            </w:r>
            <w:proofErr w:type="gramEnd"/>
            <w:r w:rsidRPr="00A41423">
              <w:rPr>
                <w:sz w:val="18"/>
                <w:szCs w:val="18"/>
              </w:rPr>
              <w:t xml:space="preserve"> Pires do Estado de Mato Grosso.</w:t>
            </w:r>
          </w:p>
          <w:p w:rsidR="00624634" w:rsidRPr="00044066" w:rsidRDefault="00624634" w:rsidP="00AE13DB">
            <w:pPr>
              <w:jc w:val="both"/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4252" w:type="dxa"/>
          </w:tcPr>
          <w:p w:rsidR="00624634" w:rsidRPr="00044066" w:rsidRDefault="000B5BA7" w:rsidP="00B560BF">
            <w:pPr>
              <w:jc w:val="both"/>
              <w:rPr>
                <w:b/>
                <w:color w:val="C0504D" w:themeColor="accent2"/>
                <w:sz w:val="20"/>
                <w:szCs w:val="20"/>
              </w:rPr>
            </w:pPr>
            <w:r w:rsidRPr="000B5BA7">
              <w:rPr>
                <w:b/>
                <w:sz w:val="20"/>
                <w:szCs w:val="20"/>
              </w:rPr>
              <w:t>Proposição Opera</w:t>
            </w:r>
            <w:r>
              <w:rPr>
                <w:b/>
                <w:sz w:val="20"/>
                <w:szCs w:val="20"/>
              </w:rPr>
              <w:t>cional da CIR Teles Pires Nº 01</w:t>
            </w:r>
            <w:r w:rsidR="00A41423">
              <w:rPr>
                <w:b/>
                <w:sz w:val="20"/>
                <w:szCs w:val="20"/>
              </w:rPr>
              <w:t>7</w:t>
            </w:r>
            <w:r w:rsidRPr="000B5BA7">
              <w:rPr>
                <w:b/>
                <w:sz w:val="20"/>
                <w:szCs w:val="20"/>
              </w:rPr>
              <w:t xml:space="preserve"> de </w:t>
            </w:r>
            <w:r w:rsidR="00B560BF">
              <w:rPr>
                <w:b/>
                <w:sz w:val="20"/>
                <w:szCs w:val="20"/>
              </w:rPr>
              <w:t>13</w:t>
            </w:r>
            <w:r w:rsidRPr="000B5BA7">
              <w:rPr>
                <w:b/>
                <w:sz w:val="20"/>
                <w:szCs w:val="20"/>
              </w:rPr>
              <w:t xml:space="preserve"> de </w:t>
            </w:r>
            <w:r w:rsidR="00B560BF">
              <w:rPr>
                <w:b/>
                <w:sz w:val="20"/>
                <w:szCs w:val="20"/>
              </w:rPr>
              <w:t>novembro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5BA7">
              <w:rPr>
                <w:b/>
                <w:sz w:val="20"/>
                <w:szCs w:val="20"/>
              </w:rPr>
              <w:t>de 2018.</w:t>
            </w:r>
          </w:p>
        </w:tc>
      </w:tr>
      <w:tr w:rsidR="004602B0" w:rsidRPr="00DF748E" w:rsidTr="00890367">
        <w:trPr>
          <w:trHeight w:val="428"/>
        </w:trPr>
        <w:tc>
          <w:tcPr>
            <w:tcW w:w="709" w:type="dxa"/>
          </w:tcPr>
          <w:p w:rsidR="004602B0" w:rsidRPr="0042447E" w:rsidRDefault="004602B0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2447E">
              <w:rPr>
                <w:rFonts w:ascii="Book Antiqua" w:hAnsi="Book Antiqua"/>
                <w:b/>
                <w:sz w:val="18"/>
                <w:szCs w:val="18"/>
              </w:rPr>
              <w:t>002</w:t>
            </w:r>
          </w:p>
        </w:tc>
        <w:tc>
          <w:tcPr>
            <w:tcW w:w="4820" w:type="dxa"/>
            <w:gridSpan w:val="2"/>
          </w:tcPr>
          <w:p w:rsidR="004602B0" w:rsidRPr="00795B06" w:rsidRDefault="00247098" w:rsidP="00AE13DB">
            <w:pPr>
              <w:jc w:val="both"/>
              <w:rPr>
                <w:sz w:val="18"/>
                <w:szCs w:val="18"/>
              </w:rPr>
            </w:pPr>
            <w:r w:rsidRPr="00247098">
              <w:rPr>
                <w:sz w:val="18"/>
                <w:szCs w:val="18"/>
              </w:rPr>
              <w:t xml:space="preserve">Propõe a aprovação da implantação de 01 equipe do Núcleo de Apoio a Saúde da Família – NASF Modalidade III no município de Ipiranga do Norte/MT na Região de Saúde </w:t>
            </w:r>
            <w:proofErr w:type="gramStart"/>
            <w:r w:rsidRPr="00247098">
              <w:rPr>
                <w:sz w:val="18"/>
                <w:szCs w:val="18"/>
              </w:rPr>
              <w:t>Teles</w:t>
            </w:r>
            <w:proofErr w:type="gramEnd"/>
            <w:r w:rsidRPr="00247098">
              <w:rPr>
                <w:sz w:val="18"/>
                <w:szCs w:val="18"/>
              </w:rPr>
              <w:t xml:space="preserve"> Pires do Estado de Mato Grosso.</w:t>
            </w:r>
          </w:p>
        </w:tc>
        <w:tc>
          <w:tcPr>
            <w:tcW w:w="4252" w:type="dxa"/>
          </w:tcPr>
          <w:p w:rsidR="004602B0" w:rsidRPr="00795B06" w:rsidRDefault="00247098" w:rsidP="00B560BF">
            <w:pPr>
              <w:jc w:val="both"/>
              <w:rPr>
                <w:b/>
                <w:sz w:val="20"/>
                <w:szCs w:val="20"/>
              </w:rPr>
            </w:pPr>
            <w:r w:rsidRPr="00247098">
              <w:rPr>
                <w:b/>
                <w:sz w:val="20"/>
                <w:szCs w:val="20"/>
              </w:rPr>
              <w:t>Proposição Operacional da CIR Teles Pires Nº 01</w:t>
            </w:r>
            <w:r>
              <w:rPr>
                <w:b/>
                <w:sz w:val="20"/>
                <w:szCs w:val="20"/>
              </w:rPr>
              <w:t>8</w:t>
            </w:r>
            <w:r w:rsidRPr="00247098">
              <w:rPr>
                <w:b/>
                <w:sz w:val="20"/>
                <w:szCs w:val="20"/>
              </w:rPr>
              <w:t xml:space="preserve"> de </w:t>
            </w:r>
            <w:r w:rsidR="00B560BF">
              <w:rPr>
                <w:b/>
                <w:sz w:val="20"/>
                <w:szCs w:val="20"/>
              </w:rPr>
              <w:t>13 de novembro</w:t>
            </w:r>
            <w:r w:rsidRPr="00247098">
              <w:rPr>
                <w:b/>
                <w:sz w:val="20"/>
                <w:szCs w:val="20"/>
              </w:rPr>
              <w:t xml:space="preserve"> de 2018.</w:t>
            </w:r>
          </w:p>
        </w:tc>
      </w:tr>
      <w:tr w:rsidR="00A4557C" w:rsidRPr="00DF748E" w:rsidTr="00890367">
        <w:trPr>
          <w:trHeight w:val="428"/>
        </w:trPr>
        <w:tc>
          <w:tcPr>
            <w:tcW w:w="709" w:type="dxa"/>
          </w:tcPr>
          <w:p w:rsidR="00A4557C" w:rsidRDefault="00837505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003</w:t>
            </w:r>
          </w:p>
        </w:tc>
        <w:tc>
          <w:tcPr>
            <w:tcW w:w="4820" w:type="dxa"/>
            <w:gridSpan w:val="2"/>
          </w:tcPr>
          <w:p w:rsidR="00A4557C" w:rsidRPr="00795B06" w:rsidRDefault="00EC1A37" w:rsidP="00485D69">
            <w:pPr>
              <w:jc w:val="both"/>
              <w:rPr>
                <w:sz w:val="18"/>
                <w:szCs w:val="18"/>
              </w:rPr>
            </w:pPr>
            <w:r w:rsidRPr="00EC1A37">
              <w:rPr>
                <w:sz w:val="18"/>
                <w:szCs w:val="18"/>
              </w:rPr>
              <w:t xml:space="preserve">Propõe aprovar o remanejamento/repactuação de recursos financeiros destinados a Assistência de Média e </w:t>
            </w:r>
            <w:r w:rsidR="00485D69">
              <w:rPr>
                <w:sz w:val="18"/>
                <w:szCs w:val="18"/>
              </w:rPr>
              <w:t xml:space="preserve">Alta Complexidade </w:t>
            </w:r>
            <w:proofErr w:type="gramStart"/>
            <w:r w:rsidR="00485D69">
              <w:rPr>
                <w:sz w:val="18"/>
                <w:szCs w:val="18"/>
              </w:rPr>
              <w:t>dos município</w:t>
            </w:r>
            <w:proofErr w:type="gramEnd"/>
            <w:r w:rsidRPr="00EC1A37">
              <w:rPr>
                <w:sz w:val="18"/>
                <w:szCs w:val="18"/>
              </w:rPr>
              <w:t xml:space="preserve"> de Claudia, </w:t>
            </w:r>
            <w:r w:rsidR="00485D69">
              <w:rPr>
                <w:sz w:val="18"/>
                <w:szCs w:val="18"/>
              </w:rPr>
              <w:t>situado</w:t>
            </w:r>
            <w:r w:rsidRPr="00EC1A37">
              <w:rPr>
                <w:sz w:val="18"/>
                <w:szCs w:val="18"/>
              </w:rPr>
              <w:t xml:space="preserve"> na Região de Saúde Teles Pires do Estado de Mato Grosso.</w:t>
            </w:r>
          </w:p>
        </w:tc>
        <w:tc>
          <w:tcPr>
            <w:tcW w:w="4252" w:type="dxa"/>
          </w:tcPr>
          <w:p w:rsidR="00A4557C" w:rsidRDefault="00EC1A37" w:rsidP="00B560BF">
            <w:pPr>
              <w:jc w:val="both"/>
              <w:rPr>
                <w:b/>
                <w:sz w:val="20"/>
                <w:szCs w:val="20"/>
              </w:rPr>
            </w:pPr>
            <w:r w:rsidRPr="00EC1A37">
              <w:rPr>
                <w:b/>
                <w:sz w:val="20"/>
                <w:szCs w:val="20"/>
              </w:rPr>
              <w:t>Proposição Operacional da CIR Teles Pires Nº 01</w:t>
            </w:r>
            <w:r>
              <w:rPr>
                <w:b/>
                <w:sz w:val="20"/>
                <w:szCs w:val="20"/>
              </w:rPr>
              <w:t>9</w:t>
            </w:r>
            <w:r w:rsidRPr="00EC1A37">
              <w:rPr>
                <w:b/>
                <w:sz w:val="20"/>
                <w:szCs w:val="20"/>
              </w:rPr>
              <w:t xml:space="preserve"> de </w:t>
            </w:r>
            <w:r w:rsidR="00B560BF">
              <w:rPr>
                <w:b/>
                <w:sz w:val="20"/>
                <w:szCs w:val="20"/>
              </w:rPr>
              <w:t>13 de novembro</w:t>
            </w:r>
            <w:r w:rsidRPr="00EC1A37">
              <w:rPr>
                <w:b/>
                <w:sz w:val="20"/>
                <w:szCs w:val="20"/>
              </w:rPr>
              <w:t xml:space="preserve"> de 2018.</w:t>
            </w:r>
          </w:p>
          <w:p w:rsidR="00485D69" w:rsidRPr="00795B06" w:rsidRDefault="00485D69" w:rsidP="00B560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6F9F" w:rsidRPr="00DF748E" w:rsidTr="00890367">
        <w:trPr>
          <w:trHeight w:val="428"/>
        </w:trPr>
        <w:tc>
          <w:tcPr>
            <w:tcW w:w="709" w:type="dxa"/>
          </w:tcPr>
          <w:p w:rsidR="00036F9F" w:rsidRDefault="00036F9F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004</w:t>
            </w:r>
          </w:p>
        </w:tc>
        <w:tc>
          <w:tcPr>
            <w:tcW w:w="4820" w:type="dxa"/>
            <w:gridSpan w:val="2"/>
          </w:tcPr>
          <w:p w:rsidR="008204A9" w:rsidRPr="008204A9" w:rsidRDefault="008204A9" w:rsidP="008204A9">
            <w:pPr>
              <w:rPr>
                <w:sz w:val="18"/>
                <w:szCs w:val="18"/>
              </w:rPr>
            </w:pPr>
            <w:r w:rsidRPr="008204A9">
              <w:rPr>
                <w:sz w:val="18"/>
                <w:szCs w:val="18"/>
              </w:rPr>
              <w:t>Propõe aprovar os fluxos de regulação de acesso ambulatorial, internação e urgência/emergência, para realizar no âmbito do SUS, na Região Teles Pires.</w:t>
            </w:r>
          </w:p>
          <w:p w:rsidR="00036F9F" w:rsidRPr="00D953C7" w:rsidRDefault="00036F9F" w:rsidP="00AE13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85D69" w:rsidRDefault="008204A9" w:rsidP="0031255C">
            <w:pPr>
              <w:jc w:val="both"/>
            </w:pPr>
            <w:r w:rsidRPr="008204A9">
              <w:rPr>
                <w:b/>
                <w:sz w:val="20"/>
                <w:szCs w:val="20"/>
              </w:rPr>
              <w:t>Proposição Operacional da CIR Teles Pires Nº 0</w:t>
            </w:r>
            <w:r>
              <w:rPr>
                <w:b/>
                <w:sz w:val="20"/>
                <w:szCs w:val="20"/>
              </w:rPr>
              <w:t>20</w:t>
            </w:r>
            <w:r w:rsidRPr="008204A9">
              <w:rPr>
                <w:b/>
                <w:sz w:val="20"/>
                <w:szCs w:val="20"/>
              </w:rPr>
              <w:t xml:space="preserve"> de 13 de novembro de 2018.</w:t>
            </w:r>
            <w:r w:rsidR="00485D69">
              <w:t xml:space="preserve"> </w:t>
            </w:r>
          </w:p>
          <w:p w:rsidR="00036F9F" w:rsidRPr="00D953C7" w:rsidRDefault="00485D69" w:rsidP="0031255C">
            <w:pPr>
              <w:jc w:val="both"/>
              <w:rPr>
                <w:b/>
                <w:sz w:val="20"/>
                <w:szCs w:val="20"/>
              </w:rPr>
            </w:pPr>
            <w:r w:rsidRPr="00485D69">
              <w:rPr>
                <w:b/>
                <w:color w:val="FF0000"/>
                <w:sz w:val="20"/>
                <w:szCs w:val="20"/>
              </w:rPr>
              <w:t>RETIROU DE PAUTA</w:t>
            </w:r>
          </w:p>
        </w:tc>
      </w:tr>
      <w:tr w:rsidR="002A3522" w:rsidRPr="00DF748E" w:rsidTr="00890367">
        <w:trPr>
          <w:trHeight w:val="428"/>
        </w:trPr>
        <w:tc>
          <w:tcPr>
            <w:tcW w:w="709" w:type="dxa"/>
          </w:tcPr>
          <w:p w:rsidR="002A3522" w:rsidRDefault="002A3522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005</w:t>
            </w:r>
          </w:p>
        </w:tc>
        <w:tc>
          <w:tcPr>
            <w:tcW w:w="4820" w:type="dxa"/>
            <w:gridSpan w:val="2"/>
          </w:tcPr>
          <w:p w:rsidR="002A3522" w:rsidRPr="008204A9" w:rsidRDefault="002A3522" w:rsidP="008204A9">
            <w:pPr>
              <w:rPr>
                <w:sz w:val="18"/>
                <w:szCs w:val="18"/>
              </w:rPr>
            </w:pPr>
            <w:r w:rsidRPr="002A3522">
              <w:rPr>
                <w:sz w:val="18"/>
                <w:szCs w:val="18"/>
              </w:rPr>
              <w:t xml:space="preserve">Propõe sobre a definição dos Laboratórios sob Gestão Estadual para a realização dos exames de </w:t>
            </w:r>
            <w:proofErr w:type="spellStart"/>
            <w:r w:rsidRPr="002A3522">
              <w:rPr>
                <w:sz w:val="18"/>
                <w:szCs w:val="18"/>
              </w:rPr>
              <w:t>Citopatológico</w:t>
            </w:r>
            <w:proofErr w:type="spellEnd"/>
            <w:r w:rsidRPr="002A3522">
              <w:rPr>
                <w:sz w:val="18"/>
                <w:szCs w:val="18"/>
              </w:rPr>
              <w:t xml:space="preserve"> </w:t>
            </w:r>
            <w:proofErr w:type="spellStart"/>
            <w:r w:rsidRPr="002A3522">
              <w:rPr>
                <w:sz w:val="18"/>
                <w:szCs w:val="18"/>
              </w:rPr>
              <w:t>cérvico</w:t>
            </w:r>
            <w:proofErr w:type="spellEnd"/>
            <w:r w:rsidRPr="002A3522">
              <w:rPr>
                <w:sz w:val="18"/>
                <w:szCs w:val="18"/>
              </w:rPr>
              <w:t xml:space="preserve">-vaginal/microflora, </w:t>
            </w:r>
            <w:proofErr w:type="spellStart"/>
            <w:r w:rsidRPr="002A3522">
              <w:rPr>
                <w:sz w:val="18"/>
                <w:szCs w:val="18"/>
              </w:rPr>
              <w:t>Citopatológico</w:t>
            </w:r>
            <w:proofErr w:type="spellEnd"/>
            <w:r w:rsidRPr="002A3522">
              <w:rPr>
                <w:sz w:val="18"/>
                <w:szCs w:val="18"/>
              </w:rPr>
              <w:t xml:space="preserve"> </w:t>
            </w:r>
            <w:proofErr w:type="spellStart"/>
            <w:r w:rsidRPr="002A3522">
              <w:rPr>
                <w:sz w:val="18"/>
                <w:szCs w:val="18"/>
              </w:rPr>
              <w:t>cérvico</w:t>
            </w:r>
            <w:proofErr w:type="spellEnd"/>
            <w:r w:rsidRPr="002A3522">
              <w:rPr>
                <w:sz w:val="18"/>
                <w:szCs w:val="18"/>
              </w:rPr>
              <w:t xml:space="preserve">-vaginal/microflora – rastreamento, </w:t>
            </w:r>
            <w:proofErr w:type="spellStart"/>
            <w:r w:rsidRPr="002A3522">
              <w:rPr>
                <w:sz w:val="18"/>
                <w:szCs w:val="18"/>
              </w:rPr>
              <w:t>Citopalógico</w:t>
            </w:r>
            <w:proofErr w:type="spellEnd"/>
            <w:r w:rsidRPr="002A3522">
              <w:rPr>
                <w:sz w:val="18"/>
                <w:szCs w:val="18"/>
              </w:rPr>
              <w:t xml:space="preserve"> de mama e Anatomopatológico aos municípios de Cláudia, Feliz Natal, Ipiranga do Norte, </w:t>
            </w:r>
            <w:proofErr w:type="spellStart"/>
            <w:r w:rsidRPr="002A3522">
              <w:rPr>
                <w:sz w:val="18"/>
                <w:szCs w:val="18"/>
              </w:rPr>
              <w:t>Itanhangá</w:t>
            </w:r>
            <w:proofErr w:type="spellEnd"/>
            <w:r w:rsidRPr="002A3522">
              <w:rPr>
                <w:sz w:val="18"/>
                <w:szCs w:val="18"/>
              </w:rPr>
              <w:t xml:space="preserve">, Lucas do Rio Verde, Nova Mutum, Nova Ubiratã, Santa Carmem, Santa Rita do </w:t>
            </w:r>
            <w:proofErr w:type="spellStart"/>
            <w:r w:rsidRPr="002A3522">
              <w:rPr>
                <w:sz w:val="18"/>
                <w:szCs w:val="18"/>
              </w:rPr>
              <w:t>Trivelato</w:t>
            </w:r>
            <w:proofErr w:type="spellEnd"/>
            <w:r w:rsidRPr="002A3522">
              <w:rPr>
                <w:sz w:val="18"/>
                <w:szCs w:val="18"/>
              </w:rPr>
              <w:t xml:space="preserve">, Sinop, Sorriso, </w:t>
            </w:r>
            <w:proofErr w:type="spellStart"/>
            <w:r w:rsidRPr="002A3522">
              <w:rPr>
                <w:sz w:val="18"/>
                <w:szCs w:val="18"/>
              </w:rPr>
              <w:t>Tapurah</w:t>
            </w:r>
            <w:proofErr w:type="spellEnd"/>
            <w:r w:rsidRPr="002A3522">
              <w:rPr>
                <w:sz w:val="18"/>
                <w:szCs w:val="18"/>
              </w:rPr>
              <w:t xml:space="preserve">, União do Sul e Vera pertencentes </w:t>
            </w:r>
            <w:proofErr w:type="gramStart"/>
            <w:r w:rsidRPr="002A3522">
              <w:rPr>
                <w:sz w:val="18"/>
                <w:szCs w:val="18"/>
              </w:rPr>
              <w:t>a</w:t>
            </w:r>
            <w:proofErr w:type="gramEnd"/>
            <w:r w:rsidRPr="002A3522">
              <w:rPr>
                <w:sz w:val="18"/>
                <w:szCs w:val="18"/>
              </w:rPr>
              <w:t xml:space="preserve"> Região Teles Pires do Estado de Mato Grosso.</w:t>
            </w:r>
          </w:p>
        </w:tc>
        <w:tc>
          <w:tcPr>
            <w:tcW w:w="4252" w:type="dxa"/>
          </w:tcPr>
          <w:p w:rsidR="002A3522" w:rsidRPr="008204A9" w:rsidRDefault="002A3522" w:rsidP="002A3522">
            <w:pPr>
              <w:jc w:val="both"/>
              <w:rPr>
                <w:b/>
                <w:sz w:val="20"/>
                <w:szCs w:val="20"/>
              </w:rPr>
            </w:pPr>
            <w:r w:rsidRPr="002A3522">
              <w:rPr>
                <w:b/>
                <w:sz w:val="20"/>
                <w:szCs w:val="20"/>
              </w:rPr>
              <w:t>Proposição Operacional da CIR Teles Pires Nº 02</w:t>
            </w:r>
            <w:r>
              <w:rPr>
                <w:b/>
                <w:sz w:val="20"/>
                <w:szCs w:val="20"/>
              </w:rPr>
              <w:t>1</w:t>
            </w:r>
            <w:r w:rsidRPr="002A3522">
              <w:rPr>
                <w:b/>
                <w:sz w:val="20"/>
                <w:szCs w:val="20"/>
              </w:rPr>
              <w:t xml:space="preserve"> de 13 de novembro de 2018.</w:t>
            </w:r>
          </w:p>
        </w:tc>
      </w:tr>
      <w:tr w:rsidR="0044780B" w:rsidRPr="00DF748E" w:rsidTr="00890367">
        <w:trPr>
          <w:trHeight w:val="428"/>
        </w:trPr>
        <w:tc>
          <w:tcPr>
            <w:tcW w:w="709" w:type="dxa"/>
          </w:tcPr>
          <w:p w:rsidR="0044780B" w:rsidRDefault="0044780B" w:rsidP="00860514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006</w:t>
            </w:r>
          </w:p>
        </w:tc>
        <w:tc>
          <w:tcPr>
            <w:tcW w:w="4820" w:type="dxa"/>
            <w:gridSpan w:val="2"/>
          </w:tcPr>
          <w:p w:rsidR="0044780B" w:rsidRPr="002A3522" w:rsidRDefault="005D07FA" w:rsidP="00485D69">
            <w:pPr>
              <w:rPr>
                <w:sz w:val="18"/>
                <w:szCs w:val="18"/>
              </w:rPr>
            </w:pPr>
            <w:r w:rsidRPr="005D07FA">
              <w:rPr>
                <w:sz w:val="18"/>
                <w:szCs w:val="18"/>
              </w:rPr>
              <w:t>Propõe aprovar o remanejamento/repactuação de recursos financeiros destinados a Assistência de Média e Alta Complexidade do município de Lucas do Rio Verde</w:t>
            </w:r>
            <w:proofErr w:type="gramStart"/>
            <w:r w:rsidRPr="005D07FA">
              <w:rPr>
                <w:sz w:val="18"/>
                <w:szCs w:val="18"/>
              </w:rPr>
              <w:t xml:space="preserve">, </w:t>
            </w:r>
            <w:r w:rsidR="00485D69">
              <w:rPr>
                <w:sz w:val="18"/>
                <w:szCs w:val="18"/>
              </w:rPr>
              <w:t>,</w:t>
            </w:r>
            <w:proofErr w:type="gramEnd"/>
            <w:r w:rsidR="00485D69">
              <w:rPr>
                <w:sz w:val="18"/>
                <w:szCs w:val="18"/>
              </w:rPr>
              <w:t xml:space="preserve"> situado</w:t>
            </w:r>
            <w:r w:rsidRPr="005D07FA">
              <w:rPr>
                <w:sz w:val="18"/>
                <w:szCs w:val="18"/>
              </w:rPr>
              <w:t xml:space="preserve"> na Região de Saúde Teles Pires do Estado de Mato Grosso</w:t>
            </w:r>
          </w:p>
        </w:tc>
        <w:tc>
          <w:tcPr>
            <w:tcW w:w="4252" w:type="dxa"/>
          </w:tcPr>
          <w:p w:rsidR="0044780B" w:rsidRPr="002A3522" w:rsidRDefault="005D07FA" w:rsidP="0024072D">
            <w:pPr>
              <w:jc w:val="both"/>
              <w:rPr>
                <w:b/>
                <w:sz w:val="20"/>
                <w:szCs w:val="20"/>
              </w:rPr>
            </w:pPr>
            <w:r w:rsidRPr="005D07FA">
              <w:rPr>
                <w:b/>
                <w:sz w:val="20"/>
                <w:szCs w:val="20"/>
              </w:rPr>
              <w:t>Proposição Operacional da CIR Teles Pires Nº 02</w:t>
            </w:r>
            <w:r w:rsidR="0024072D">
              <w:rPr>
                <w:b/>
                <w:sz w:val="20"/>
                <w:szCs w:val="20"/>
              </w:rPr>
              <w:t>2</w:t>
            </w:r>
            <w:r w:rsidRPr="005D07FA">
              <w:rPr>
                <w:b/>
                <w:sz w:val="20"/>
                <w:szCs w:val="20"/>
              </w:rPr>
              <w:t xml:space="preserve"> de 13 de novembro de 2018.</w:t>
            </w:r>
          </w:p>
        </w:tc>
      </w:tr>
    </w:tbl>
    <w:p w:rsidR="00E0544C" w:rsidRPr="00CD5E31" w:rsidRDefault="00E0544C" w:rsidP="004C25A2">
      <w:pPr>
        <w:rPr>
          <w:sz w:val="18"/>
          <w:szCs w:val="18"/>
        </w:rPr>
      </w:pPr>
    </w:p>
    <w:sectPr w:rsidR="00E0544C" w:rsidRPr="00CD5E31" w:rsidSect="00487B99">
      <w:headerReference w:type="default" r:id="rId9"/>
      <w:footerReference w:type="default" r:id="rId10"/>
      <w:pgSz w:w="11900" w:h="16840"/>
      <w:pgMar w:top="397" w:right="987" w:bottom="397" w:left="1797" w:header="57" w:footer="567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6B" w:rsidRDefault="006F416B" w:rsidP="00FD497B">
      <w:r>
        <w:separator/>
      </w:r>
    </w:p>
  </w:endnote>
  <w:endnote w:type="continuationSeparator" w:id="0">
    <w:p w:rsidR="006F416B" w:rsidRDefault="006F416B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Pr="00897715" w:rsidRDefault="00FB6D0B" w:rsidP="00E2402B">
    <w:pPr>
      <w:pStyle w:val="Rodap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-847090</wp:posOffset>
          </wp:positionV>
          <wp:extent cx="771525" cy="819150"/>
          <wp:effectExtent l="19050" t="0" r="9525" b="0"/>
          <wp:wrapTopAndBottom/>
          <wp:docPr id="4" name="Imagem 1" descr="C:\Documents and Settings\ruteferreira.SES\Meus documentos\Minhas imagens\CI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ruteferreira.SES\Meus documentos\Minhas imagens\CIB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BD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-828040</wp:posOffset>
              </wp:positionV>
              <wp:extent cx="1997075" cy="797560"/>
              <wp:effectExtent l="0" t="0" r="0" b="0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075" cy="797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6D0B" w:rsidRPr="00F864D3" w:rsidRDefault="00FB6D0B" w:rsidP="002E5313">
                          <w:pPr>
                            <w:pStyle w:val="Rodap"/>
                            <w:jc w:val="right"/>
                          </w:pPr>
                          <w:r>
                            <w:object w:dxaOrig="3045" w:dyaOrig="136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42.8pt;height:55.6pt" o:ole="">
                                <v:imagedata r:id="rId2" o:title=""/>
                              </v:shape>
                              <o:OLEObject Type="Embed" ProgID="PBrush" ShapeID="_x0000_i1026" DrawAspect="Content" ObjectID="_1609767070" r:id="rId3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52.5pt;margin-top:-65.2pt;width:157.25pt;height:62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FB6D0B" w:rsidRPr="00F864D3" w:rsidRDefault="00FB6D0B" w:rsidP="002E5313">
                    <w:pPr>
                      <w:pStyle w:val="Rodap"/>
                      <w:jc w:val="right"/>
                    </w:pPr>
                    <w:r>
                      <w:object w:dxaOrig="3045" w:dyaOrig="1365">
                        <v:shape id="_x0000_i1025" type="#_x0000_t75" style="width:142.8pt;height:55.6pt" o:ole="">
                          <v:imagedata r:id="rId4" o:title=""/>
                        </v:shape>
                        <o:OLEObject Type="Embed" ProgID="PBrush" ShapeID="_x0000_i1025" DrawAspect="Content" ObjectID="_1598689286" r:id="rId5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6B" w:rsidRDefault="006F416B" w:rsidP="00FD497B">
      <w:r>
        <w:separator/>
      </w:r>
    </w:p>
  </w:footnote>
  <w:footnote w:type="continuationSeparator" w:id="0">
    <w:p w:rsidR="006F416B" w:rsidRDefault="006F416B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0B" w:rsidRDefault="00904BD1" w:rsidP="009D0EFC">
    <w:pPr>
      <w:pStyle w:val="Cabealho"/>
      <w:tabs>
        <w:tab w:val="clear" w:pos="4320"/>
        <w:tab w:val="clear" w:pos="8640"/>
        <w:tab w:val="left" w:pos="5835"/>
      </w:tabs>
      <w:ind w:left="-99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2809875</wp:posOffset>
              </wp:positionH>
              <wp:positionV relativeFrom="paragraph">
                <wp:posOffset>-255270</wp:posOffset>
              </wp:positionV>
              <wp:extent cx="2916555" cy="1695450"/>
              <wp:effectExtent l="0" t="1905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169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B6D0B" w:rsidRPr="009D0EFC" w:rsidRDefault="00FB6D0B" w:rsidP="00EA31F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COMISSÃO INTERGESTORES BIPARTITE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ESCRITÓRIO REGIONAL DE SAÚDE DE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SINOP</w:t>
                          </w:r>
                        </w:p>
                        <w:p w:rsidR="00FB6D0B" w:rsidRDefault="00FB6D0B" w:rsidP="00913D6B">
                          <w:pPr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COMISSÃO INTERGESTORES REGIONAL TELES PIRES</w:t>
                          </w:r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Rua das Avencas,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2072</w:t>
                          </w:r>
                          <w:proofErr w:type="gramEnd"/>
                        </w:p>
                        <w:p w:rsidR="00FB6D0B" w:rsidRPr="00C23142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Ba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irro: Setor Comercial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E20A44">
                            <w:rPr>
                              <w:b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>CEP: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>78.550-300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     Cidade: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Sinop-</w:t>
                          </w:r>
                          <w:r w:rsidRPr="00C23142">
                            <w:rPr>
                              <w:b/>
                              <w:sz w:val="18"/>
                              <w:szCs w:val="18"/>
                            </w:rPr>
                            <w:t xml:space="preserve"> MT</w:t>
                          </w:r>
                        </w:p>
                        <w:p w:rsidR="00FB6D0B" w:rsidRPr="00A62647" w:rsidRDefault="00FB6D0B" w:rsidP="00913D6B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Fone: (66) 3531-5289</w:t>
                          </w:r>
                        </w:p>
                        <w:p w:rsidR="00FB6D0B" w:rsidRPr="00E22EFC" w:rsidRDefault="00FB6D0B" w:rsidP="00913D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  <w:p w:rsidR="00FB6D0B" w:rsidRPr="00E22EFC" w:rsidRDefault="00FB6D0B" w:rsidP="001054BF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21.25pt;margin-top:-20.1pt;width:229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k4hA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" stroked="f">
              <v:textbox>
                <w:txbxContent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</w:p>
                  <w:p w:rsidR="00FB6D0B" w:rsidRPr="009D0EFC" w:rsidRDefault="00FB6D0B" w:rsidP="00EA31F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COMISSÃO INTERGESTORES BIPARTITE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ESCRITÓRIO REGIONAL DE SAÚDE DE</w:t>
                    </w:r>
                    <w:proofErr w:type="gramStart"/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b/>
                        <w:sz w:val="16"/>
                        <w:szCs w:val="16"/>
                      </w:rPr>
                      <w:t>SINOP</w:t>
                    </w:r>
                  </w:p>
                  <w:p w:rsidR="00FB6D0B" w:rsidRDefault="00FB6D0B" w:rsidP="00913D6B">
                    <w:pPr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COMISSÃO INTERGESTORES REGIONAL TELES PIRES</w:t>
                    </w:r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C23142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C23142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Rua das Avencas,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2072</w:t>
                    </w:r>
                    <w:proofErr w:type="gramEnd"/>
                  </w:p>
                  <w:p w:rsidR="00FB6D0B" w:rsidRPr="00C23142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C23142">
                      <w:rPr>
                        <w:b/>
                        <w:sz w:val="18"/>
                        <w:szCs w:val="18"/>
                      </w:rPr>
                      <w:t>Ba</w:t>
                    </w:r>
                    <w:r>
                      <w:rPr>
                        <w:b/>
                        <w:sz w:val="18"/>
                        <w:szCs w:val="18"/>
                      </w:rPr>
                      <w:t>irro: Setor Comercial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E20A44">
                      <w:rPr>
                        <w:b/>
                        <w:sz w:val="18"/>
                        <w:szCs w:val="18"/>
                      </w:rPr>
                      <w:t xml:space="preserve">         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C23142">
                      <w:rPr>
                        <w:b/>
                        <w:sz w:val="18"/>
                        <w:szCs w:val="18"/>
                      </w:rPr>
                      <w:t>CEP: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>78.550-300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                                      Cidade: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Sinop-</w:t>
                    </w:r>
                    <w:r w:rsidRPr="00C23142">
                      <w:rPr>
                        <w:b/>
                        <w:sz w:val="18"/>
                        <w:szCs w:val="18"/>
                      </w:rPr>
                      <w:t xml:space="preserve"> MT</w:t>
                    </w:r>
                  </w:p>
                  <w:p w:rsidR="00FB6D0B" w:rsidRPr="00A62647" w:rsidRDefault="00FB6D0B" w:rsidP="00913D6B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Fone: (66) 3531-5289</w:t>
                    </w:r>
                  </w:p>
                  <w:p w:rsidR="00FB6D0B" w:rsidRPr="00E22EFC" w:rsidRDefault="00FB6D0B" w:rsidP="00913D6B">
                    <w:pPr>
                      <w:jc w:val="right"/>
                      <w:rPr>
                        <w:lang w:val="en-US"/>
                      </w:rPr>
                    </w:pPr>
                  </w:p>
                  <w:p w:rsidR="00FB6D0B" w:rsidRPr="00E22EFC" w:rsidRDefault="00FB6D0B" w:rsidP="001054BF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B6D0B" w:rsidRPr="001054BF">
      <w:rPr>
        <w:noProof/>
      </w:rPr>
      <w:drawing>
        <wp:inline distT="0" distB="0" distL="0" distR="0">
          <wp:extent cx="3267075" cy="1445356"/>
          <wp:effectExtent l="19050" t="0" r="9525" b="0"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445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6D0B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-4000500</wp:posOffset>
          </wp:positionH>
          <wp:positionV relativeFrom="paragraph">
            <wp:posOffset>-360045</wp:posOffset>
          </wp:positionV>
          <wp:extent cx="11315700" cy="8401050"/>
          <wp:effectExtent l="0" t="0" r="0" b="0"/>
          <wp:wrapNone/>
          <wp:docPr id="52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0" cy="840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6D0B" w:rsidRPr="002206D7">
      <w:t xml:space="preserve"> </w:t>
    </w:r>
  </w:p>
  <w:p w:rsidR="00FB6D0B" w:rsidRPr="002206D7" w:rsidRDefault="00FB6D0B" w:rsidP="00D43735">
    <w:pPr>
      <w:pStyle w:val="Cabealho"/>
      <w:tabs>
        <w:tab w:val="clear" w:pos="4320"/>
        <w:tab w:val="clear" w:pos="8640"/>
        <w:tab w:val="left" w:pos="5835"/>
      </w:tabs>
      <w:ind w:left="-992" w:right="-241"/>
    </w:pPr>
    <w:r>
      <w:t>______________________________________________________________________________________</w:t>
    </w:r>
  </w:p>
  <w:p w:rsidR="00FB6D0B" w:rsidRPr="00C819A9" w:rsidRDefault="00FB6D0B" w:rsidP="00BC6430">
    <w:pPr>
      <w:pStyle w:val="Cabealho"/>
      <w:tabs>
        <w:tab w:val="clear" w:pos="4320"/>
        <w:tab w:val="clear" w:pos="8640"/>
        <w:tab w:val="left" w:pos="5835"/>
      </w:tabs>
      <w:ind w:left="-993" w:right="-241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>
    <w:nsid w:val="06337D44"/>
    <w:multiLevelType w:val="hybridMultilevel"/>
    <w:tmpl w:val="DA1AAB96"/>
    <w:lvl w:ilvl="0" w:tplc="41D0241C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063F1C"/>
    <w:multiLevelType w:val="hybridMultilevel"/>
    <w:tmpl w:val="E240702A"/>
    <w:lvl w:ilvl="0" w:tplc="59625DCC">
      <w:start w:val="1"/>
      <w:numFmt w:val="decimalZero"/>
      <w:lvlText w:val="%1-"/>
      <w:lvlJc w:val="left"/>
      <w:pPr>
        <w:ind w:left="39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4E2B11"/>
    <w:multiLevelType w:val="multilevel"/>
    <w:tmpl w:val="D5E4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79F1"/>
    <w:multiLevelType w:val="hybridMultilevel"/>
    <w:tmpl w:val="BE1A6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75A"/>
    <w:multiLevelType w:val="multilevel"/>
    <w:tmpl w:val="7BB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36B76"/>
    <w:multiLevelType w:val="hybridMultilevel"/>
    <w:tmpl w:val="45EA92EE"/>
    <w:lvl w:ilvl="0" w:tplc="C9A09A2E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5624EE6"/>
    <w:multiLevelType w:val="hybridMultilevel"/>
    <w:tmpl w:val="6D3C01BE"/>
    <w:lvl w:ilvl="0" w:tplc="B43863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B47DA"/>
    <w:multiLevelType w:val="hybridMultilevel"/>
    <w:tmpl w:val="E16EF4C6"/>
    <w:lvl w:ilvl="0" w:tplc="DFECD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61AC"/>
    <w:multiLevelType w:val="multilevel"/>
    <w:tmpl w:val="AD3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156C3"/>
    <w:multiLevelType w:val="hybridMultilevel"/>
    <w:tmpl w:val="693EEFD8"/>
    <w:lvl w:ilvl="0" w:tplc="E2F2079E">
      <w:start w:val="1"/>
      <w:numFmt w:val="decimal"/>
      <w:lvlText w:val="%1-"/>
      <w:lvlJc w:val="left"/>
      <w:pPr>
        <w:ind w:left="6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818740A"/>
    <w:multiLevelType w:val="hybridMultilevel"/>
    <w:tmpl w:val="A64E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3328D"/>
    <w:multiLevelType w:val="multilevel"/>
    <w:tmpl w:val="FB3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FE"/>
    <w:rsid w:val="000005FE"/>
    <w:rsid w:val="000007F1"/>
    <w:rsid w:val="00007890"/>
    <w:rsid w:val="0002078B"/>
    <w:rsid w:val="00021D6D"/>
    <w:rsid w:val="00023B8C"/>
    <w:rsid w:val="00025C10"/>
    <w:rsid w:val="00030865"/>
    <w:rsid w:val="00036F9F"/>
    <w:rsid w:val="000379F5"/>
    <w:rsid w:val="00044066"/>
    <w:rsid w:val="000446A4"/>
    <w:rsid w:val="00047806"/>
    <w:rsid w:val="00047EEA"/>
    <w:rsid w:val="00050429"/>
    <w:rsid w:val="000504ED"/>
    <w:rsid w:val="00051A2F"/>
    <w:rsid w:val="00052CA9"/>
    <w:rsid w:val="00062013"/>
    <w:rsid w:val="00083322"/>
    <w:rsid w:val="00087DD4"/>
    <w:rsid w:val="00091B9C"/>
    <w:rsid w:val="0009366F"/>
    <w:rsid w:val="00094A0A"/>
    <w:rsid w:val="000964CA"/>
    <w:rsid w:val="00097584"/>
    <w:rsid w:val="000A07B4"/>
    <w:rsid w:val="000A5945"/>
    <w:rsid w:val="000B5BA7"/>
    <w:rsid w:val="000C0978"/>
    <w:rsid w:val="000C2CAE"/>
    <w:rsid w:val="000C315F"/>
    <w:rsid w:val="000C5DD4"/>
    <w:rsid w:val="000D218F"/>
    <w:rsid w:val="000D299A"/>
    <w:rsid w:val="000D2BF1"/>
    <w:rsid w:val="000D4D25"/>
    <w:rsid w:val="000D50CC"/>
    <w:rsid w:val="000D67A8"/>
    <w:rsid w:val="000E46A6"/>
    <w:rsid w:val="000E6003"/>
    <w:rsid w:val="000E63C3"/>
    <w:rsid w:val="000F039C"/>
    <w:rsid w:val="000F579B"/>
    <w:rsid w:val="0010471D"/>
    <w:rsid w:val="001049F7"/>
    <w:rsid w:val="00104EF6"/>
    <w:rsid w:val="001054BF"/>
    <w:rsid w:val="00106FFC"/>
    <w:rsid w:val="00107215"/>
    <w:rsid w:val="00107B67"/>
    <w:rsid w:val="001133A8"/>
    <w:rsid w:val="001145DA"/>
    <w:rsid w:val="00115D87"/>
    <w:rsid w:val="001171C9"/>
    <w:rsid w:val="001176D5"/>
    <w:rsid w:val="001226EB"/>
    <w:rsid w:val="00124627"/>
    <w:rsid w:val="001272E5"/>
    <w:rsid w:val="00131BA6"/>
    <w:rsid w:val="001333E8"/>
    <w:rsid w:val="00135E52"/>
    <w:rsid w:val="001403DD"/>
    <w:rsid w:val="00141D02"/>
    <w:rsid w:val="00142613"/>
    <w:rsid w:val="00143600"/>
    <w:rsid w:val="001441D5"/>
    <w:rsid w:val="0014714C"/>
    <w:rsid w:val="00155DD5"/>
    <w:rsid w:val="00161A7A"/>
    <w:rsid w:val="00163C0D"/>
    <w:rsid w:val="001649A4"/>
    <w:rsid w:val="00164C98"/>
    <w:rsid w:val="00164D45"/>
    <w:rsid w:val="001651B6"/>
    <w:rsid w:val="00166DB6"/>
    <w:rsid w:val="001724DF"/>
    <w:rsid w:val="0017312F"/>
    <w:rsid w:val="00174D23"/>
    <w:rsid w:val="0018068A"/>
    <w:rsid w:val="001813CB"/>
    <w:rsid w:val="00183275"/>
    <w:rsid w:val="00186D26"/>
    <w:rsid w:val="00193531"/>
    <w:rsid w:val="00194265"/>
    <w:rsid w:val="001961A7"/>
    <w:rsid w:val="001A0611"/>
    <w:rsid w:val="001A1F1B"/>
    <w:rsid w:val="001B1CE2"/>
    <w:rsid w:val="001B237E"/>
    <w:rsid w:val="001B290B"/>
    <w:rsid w:val="001B2BA2"/>
    <w:rsid w:val="001B32F8"/>
    <w:rsid w:val="001B4FCE"/>
    <w:rsid w:val="001C30EF"/>
    <w:rsid w:val="001D1681"/>
    <w:rsid w:val="001D4935"/>
    <w:rsid w:val="001D4EAC"/>
    <w:rsid w:val="001D7BC8"/>
    <w:rsid w:val="001E011E"/>
    <w:rsid w:val="001E208E"/>
    <w:rsid w:val="001E496D"/>
    <w:rsid w:val="001F4928"/>
    <w:rsid w:val="002022C0"/>
    <w:rsid w:val="002048D6"/>
    <w:rsid w:val="00205131"/>
    <w:rsid w:val="0020797F"/>
    <w:rsid w:val="002079DC"/>
    <w:rsid w:val="00215471"/>
    <w:rsid w:val="0022027B"/>
    <w:rsid w:val="002206D7"/>
    <w:rsid w:val="00231191"/>
    <w:rsid w:val="00231908"/>
    <w:rsid w:val="00231F4F"/>
    <w:rsid w:val="00232CB1"/>
    <w:rsid w:val="0024072D"/>
    <w:rsid w:val="00242137"/>
    <w:rsid w:val="002444E5"/>
    <w:rsid w:val="00245A56"/>
    <w:rsid w:val="00247098"/>
    <w:rsid w:val="00247FF9"/>
    <w:rsid w:val="00250E12"/>
    <w:rsid w:val="00257028"/>
    <w:rsid w:val="00257411"/>
    <w:rsid w:val="002606F0"/>
    <w:rsid w:val="00260AF8"/>
    <w:rsid w:val="00264F3E"/>
    <w:rsid w:val="00295909"/>
    <w:rsid w:val="00295F7B"/>
    <w:rsid w:val="0029631F"/>
    <w:rsid w:val="0029635D"/>
    <w:rsid w:val="002A3522"/>
    <w:rsid w:val="002A5016"/>
    <w:rsid w:val="002B374C"/>
    <w:rsid w:val="002B5016"/>
    <w:rsid w:val="002B6625"/>
    <w:rsid w:val="002B6796"/>
    <w:rsid w:val="002B7694"/>
    <w:rsid w:val="002D03B6"/>
    <w:rsid w:val="002D2786"/>
    <w:rsid w:val="002D46E8"/>
    <w:rsid w:val="002E153E"/>
    <w:rsid w:val="002E5313"/>
    <w:rsid w:val="002E53DF"/>
    <w:rsid w:val="002E6152"/>
    <w:rsid w:val="002F2E0B"/>
    <w:rsid w:val="002F6788"/>
    <w:rsid w:val="002F6EAF"/>
    <w:rsid w:val="00305A65"/>
    <w:rsid w:val="00306C79"/>
    <w:rsid w:val="0031255C"/>
    <w:rsid w:val="0031270F"/>
    <w:rsid w:val="003134D3"/>
    <w:rsid w:val="00313577"/>
    <w:rsid w:val="003220EA"/>
    <w:rsid w:val="00331143"/>
    <w:rsid w:val="00331FE7"/>
    <w:rsid w:val="003331CE"/>
    <w:rsid w:val="00340965"/>
    <w:rsid w:val="003437BD"/>
    <w:rsid w:val="00343936"/>
    <w:rsid w:val="00343DFF"/>
    <w:rsid w:val="0035363A"/>
    <w:rsid w:val="003616C1"/>
    <w:rsid w:val="00364E42"/>
    <w:rsid w:val="00370AB0"/>
    <w:rsid w:val="00374E8A"/>
    <w:rsid w:val="00375E70"/>
    <w:rsid w:val="00376B9D"/>
    <w:rsid w:val="00383FFD"/>
    <w:rsid w:val="0039099F"/>
    <w:rsid w:val="00394D69"/>
    <w:rsid w:val="003A0C68"/>
    <w:rsid w:val="003B1515"/>
    <w:rsid w:val="003B64EA"/>
    <w:rsid w:val="003B76F9"/>
    <w:rsid w:val="003C1011"/>
    <w:rsid w:val="003C19C9"/>
    <w:rsid w:val="003C34FA"/>
    <w:rsid w:val="003D304D"/>
    <w:rsid w:val="003D4804"/>
    <w:rsid w:val="003E291D"/>
    <w:rsid w:val="003E3DF8"/>
    <w:rsid w:val="003E56A6"/>
    <w:rsid w:val="003F02F4"/>
    <w:rsid w:val="003F1898"/>
    <w:rsid w:val="003F3915"/>
    <w:rsid w:val="003F4324"/>
    <w:rsid w:val="003F4B37"/>
    <w:rsid w:val="003F4B5D"/>
    <w:rsid w:val="0040090D"/>
    <w:rsid w:val="00403B7B"/>
    <w:rsid w:val="00406DC0"/>
    <w:rsid w:val="00411508"/>
    <w:rsid w:val="00414FF3"/>
    <w:rsid w:val="00423AB0"/>
    <w:rsid w:val="0042447E"/>
    <w:rsid w:val="004320D9"/>
    <w:rsid w:val="00442AE7"/>
    <w:rsid w:val="0044780B"/>
    <w:rsid w:val="004602B0"/>
    <w:rsid w:val="00461696"/>
    <w:rsid w:val="004624D5"/>
    <w:rsid w:val="004764CF"/>
    <w:rsid w:val="00477E53"/>
    <w:rsid w:val="00481546"/>
    <w:rsid w:val="00485B2E"/>
    <w:rsid w:val="00485D69"/>
    <w:rsid w:val="00487B99"/>
    <w:rsid w:val="00491F12"/>
    <w:rsid w:val="00493FAB"/>
    <w:rsid w:val="00494994"/>
    <w:rsid w:val="004A587F"/>
    <w:rsid w:val="004A643E"/>
    <w:rsid w:val="004A6972"/>
    <w:rsid w:val="004B3142"/>
    <w:rsid w:val="004B6423"/>
    <w:rsid w:val="004C1898"/>
    <w:rsid w:val="004C25A2"/>
    <w:rsid w:val="004C43E4"/>
    <w:rsid w:val="004C51F6"/>
    <w:rsid w:val="004D1F95"/>
    <w:rsid w:val="004D5BF1"/>
    <w:rsid w:val="004F26AD"/>
    <w:rsid w:val="004F4160"/>
    <w:rsid w:val="004F7F2A"/>
    <w:rsid w:val="00506EF4"/>
    <w:rsid w:val="00512EBF"/>
    <w:rsid w:val="00516B1A"/>
    <w:rsid w:val="00520C9C"/>
    <w:rsid w:val="005228FD"/>
    <w:rsid w:val="00524899"/>
    <w:rsid w:val="00527C17"/>
    <w:rsid w:val="00537BAB"/>
    <w:rsid w:val="00541EE4"/>
    <w:rsid w:val="00544806"/>
    <w:rsid w:val="0055141D"/>
    <w:rsid w:val="00557CD6"/>
    <w:rsid w:val="005604D8"/>
    <w:rsid w:val="00560FA0"/>
    <w:rsid w:val="005667CA"/>
    <w:rsid w:val="00572EA4"/>
    <w:rsid w:val="00573424"/>
    <w:rsid w:val="00585535"/>
    <w:rsid w:val="00590F23"/>
    <w:rsid w:val="005926D1"/>
    <w:rsid w:val="005963FE"/>
    <w:rsid w:val="00596FEC"/>
    <w:rsid w:val="005970CD"/>
    <w:rsid w:val="005A0C55"/>
    <w:rsid w:val="005A2DC7"/>
    <w:rsid w:val="005A33BF"/>
    <w:rsid w:val="005A512C"/>
    <w:rsid w:val="005A6190"/>
    <w:rsid w:val="005B4311"/>
    <w:rsid w:val="005B5DA7"/>
    <w:rsid w:val="005B7BB3"/>
    <w:rsid w:val="005C5052"/>
    <w:rsid w:val="005D07FA"/>
    <w:rsid w:val="005D4D23"/>
    <w:rsid w:val="005D7320"/>
    <w:rsid w:val="005E35F2"/>
    <w:rsid w:val="005F00CE"/>
    <w:rsid w:val="005F1B7B"/>
    <w:rsid w:val="005F2889"/>
    <w:rsid w:val="005F30CC"/>
    <w:rsid w:val="00602F9E"/>
    <w:rsid w:val="00604CC5"/>
    <w:rsid w:val="00610B92"/>
    <w:rsid w:val="006120B9"/>
    <w:rsid w:val="00612401"/>
    <w:rsid w:val="006129F6"/>
    <w:rsid w:val="0061344D"/>
    <w:rsid w:val="00620A72"/>
    <w:rsid w:val="00622B1F"/>
    <w:rsid w:val="00624634"/>
    <w:rsid w:val="00632168"/>
    <w:rsid w:val="0063595A"/>
    <w:rsid w:val="00641BB1"/>
    <w:rsid w:val="0064216F"/>
    <w:rsid w:val="0064474D"/>
    <w:rsid w:val="00650C43"/>
    <w:rsid w:val="00652B9E"/>
    <w:rsid w:val="00655E7C"/>
    <w:rsid w:val="00661152"/>
    <w:rsid w:val="00663DB5"/>
    <w:rsid w:val="00680041"/>
    <w:rsid w:val="0068108F"/>
    <w:rsid w:val="00687585"/>
    <w:rsid w:val="00687889"/>
    <w:rsid w:val="00692087"/>
    <w:rsid w:val="00692E5E"/>
    <w:rsid w:val="00695C04"/>
    <w:rsid w:val="0069753B"/>
    <w:rsid w:val="00697D96"/>
    <w:rsid w:val="006A2A23"/>
    <w:rsid w:val="006A2A2A"/>
    <w:rsid w:val="006A3F7D"/>
    <w:rsid w:val="006A6CCA"/>
    <w:rsid w:val="006B006F"/>
    <w:rsid w:val="006B3850"/>
    <w:rsid w:val="006B38C3"/>
    <w:rsid w:val="006C6CC8"/>
    <w:rsid w:val="006C6DC3"/>
    <w:rsid w:val="006D1D96"/>
    <w:rsid w:val="006D35DD"/>
    <w:rsid w:val="006D37CA"/>
    <w:rsid w:val="006E01EA"/>
    <w:rsid w:val="006E1CE7"/>
    <w:rsid w:val="006F416B"/>
    <w:rsid w:val="0070072D"/>
    <w:rsid w:val="00701027"/>
    <w:rsid w:val="00701AAE"/>
    <w:rsid w:val="007034D5"/>
    <w:rsid w:val="00703999"/>
    <w:rsid w:val="007051CE"/>
    <w:rsid w:val="007059E2"/>
    <w:rsid w:val="00710814"/>
    <w:rsid w:val="007142E3"/>
    <w:rsid w:val="007144C6"/>
    <w:rsid w:val="00714A16"/>
    <w:rsid w:val="0071654A"/>
    <w:rsid w:val="00717B92"/>
    <w:rsid w:val="0072618F"/>
    <w:rsid w:val="00731C17"/>
    <w:rsid w:val="00733505"/>
    <w:rsid w:val="00736A88"/>
    <w:rsid w:val="0074049C"/>
    <w:rsid w:val="0074295A"/>
    <w:rsid w:val="0075464D"/>
    <w:rsid w:val="007574E1"/>
    <w:rsid w:val="00762313"/>
    <w:rsid w:val="007654EC"/>
    <w:rsid w:val="00767848"/>
    <w:rsid w:val="00767D8E"/>
    <w:rsid w:val="00770391"/>
    <w:rsid w:val="00772CA6"/>
    <w:rsid w:val="0077606D"/>
    <w:rsid w:val="00781668"/>
    <w:rsid w:val="0078355B"/>
    <w:rsid w:val="0078708F"/>
    <w:rsid w:val="007935FD"/>
    <w:rsid w:val="00794FB5"/>
    <w:rsid w:val="007957BA"/>
    <w:rsid w:val="00795B06"/>
    <w:rsid w:val="007A2A42"/>
    <w:rsid w:val="007B1953"/>
    <w:rsid w:val="007B3643"/>
    <w:rsid w:val="007B364A"/>
    <w:rsid w:val="007C4030"/>
    <w:rsid w:val="007C61E1"/>
    <w:rsid w:val="007D0B49"/>
    <w:rsid w:val="007D694A"/>
    <w:rsid w:val="007E2064"/>
    <w:rsid w:val="007E40BC"/>
    <w:rsid w:val="007E41E3"/>
    <w:rsid w:val="007F481B"/>
    <w:rsid w:val="007F4F93"/>
    <w:rsid w:val="007F7724"/>
    <w:rsid w:val="008050A8"/>
    <w:rsid w:val="008054FB"/>
    <w:rsid w:val="008073EE"/>
    <w:rsid w:val="00811BE8"/>
    <w:rsid w:val="00813B06"/>
    <w:rsid w:val="00813C9A"/>
    <w:rsid w:val="00813D2E"/>
    <w:rsid w:val="008204A9"/>
    <w:rsid w:val="00824304"/>
    <w:rsid w:val="0082707A"/>
    <w:rsid w:val="00837505"/>
    <w:rsid w:val="00843888"/>
    <w:rsid w:val="0084551A"/>
    <w:rsid w:val="00852E29"/>
    <w:rsid w:val="008538B7"/>
    <w:rsid w:val="00853956"/>
    <w:rsid w:val="00853B8A"/>
    <w:rsid w:val="008573F0"/>
    <w:rsid w:val="00860514"/>
    <w:rsid w:val="00860825"/>
    <w:rsid w:val="00860F5E"/>
    <w:rsid w:val="008663E0"/>
    <w:rsid w:val="008738B9"/>
    <w:rsid w:val="0087427D"/>
    <w:rsid w:val="008764A0"/>
    <w:rsid w:val="00881E36"/>
    <w:rsid w:val="00884BFF"/>
    <w:rsid w:val="00890367"/>
    <w:rsid w:val="0089155C"/>
    <w:rsid w:val="00896915"/>
    <w:rsid w:val="00897715"/>
    <w:rsid w:val="00897B81"/>
    <w:rsid w:val="008A72F1"/>
    <w:rsid w:val="008B1043"/>
    <w:rsid w:val="008B1E28"/>
    <w:rsid w:val="008B44B8"/>
    <w:rsid w:val="008B477C"/>
    <w:rsid w:val="008B4B99"/>
    <w:rsid w:val="008B67DD"/>
    <w:rsid w:val="008C4F7F"/>
    <w:rsid w:val="008D2E7C"/>
    <w:rsid w:val="008D5A28"/>
    <w:rsid w:val="008D620A"/>
    <w:rsid w:val="008D7B3C"/>
    <w:rsid w:val="008E194D"/>
    <w:rsid w:val="008E6C94"/>
    <w:rsid w:val="008E79F2"/>
    <w:rsid w:val="008F3047"/>
    <w:rsid w:val="008F484A"/>
    <w:rsid w:val="008F7C14"/>
    <w:rsid w:val="009026C7"/>
    <w:rsid w:val="00904BD1"/>
    <w:rsid w:val="00906AD8"/>
    <w:rsid w:val="009075DD"/>
    <w:rsid w:val="009121A6"/>
    <w:rsid w:val="00913D6B"/>
    <w:rsid w:val="00921E14"/>
    <w:rsid w:val="00925A13"/>
    <w:rsid w:val="009267EE"/>
    <w:rsid w:val="0094707A"/>
    <w:rsid w:val="00947517"/>
    <w:rsid w:val="00952B53"/>
    <w:rsid w:val="0095761D"/>
    <w:rsid w:val="0096752F"/>
    <w:rsid w:val="00971331"/>
    <w:rsid w:val="00972E2B"/>
    <w:rsid w:val="00977440"/>
    <w:rsid w:val="00983A13"/>
    <w:rsid w:val="0098643F"/>
    <w:rsid w:val="00986A7F"/>
    <w:rsid w:val="00987772"/>
    <w:rsid w:val="00994D4F"/>
    <w:rsid w:val="009A0A04"/>
    <w:rsid w:val="009A2778"/>
    <w:rsid w:val="009A2AFC"/>
    <w:rsid w:val="009A7844"/>
    <w:rsid w:val="009B19C0"/>
    <w:rsid w:val="009B21E9"/>
    <w:rsid w:val="009B301E"/>
    <w:rsid w:val="009B6014"/>
    <w:rsid w:val="009C02B4"/>
    <w:rsid w:val="009C10CF"/>
    <w:rsid w:val="009C6DA1"/>
    <w:rsid w:val="009D0801"/>
    <w:rsid w:val="009D0EFC"/>
    <w:rsid w:val="009D13AA"/>
    <w:rsid w:val="009D2AC1"/>
    <w:rsid w:val="009D2DA8"/>
    <w:rsid w:val="009D3794"/>
    <w:rsid w:val="009D4EF3"/>
    <w:rsid w:val="009E0EC7"/>
    <w:rsid w:val="009E4F3E"/>
    <w:rsid w:val="009E7C43"/>
    <w:rsid w:val="009E7C53"/>
    <w:rsid w:val="009F0DDA"/>
    <w:rsid w:val="009F19B1"/>
    <w:rsid w:val="009F1C48"/>
    <w:rsid w:val="009F6F73"/>
    <w:rsid w:val="00A001A7"/>
    <w:rsid w:val="00A02B7E"/>
    <w:rsid w:val="00A20AE2"/>
    <w:rsid w:val="00A211C3"/>
    <w:rsid w:val="00A22FD1"/>
    <w:rsid w:val="00A33858"/>
    <w:rsid w:val="00A35672"/>
    <w:rsid w:val="00A35A4A"/>
    <w:rsid w:val="00A365F6"/>
    <w:rsid w:val="00A41423"/>
    <w:rsid w:val="00A4475C"/>
    <w:rsid w:val="00A4557C"/>
    <w:rsid w:val="00A460D0"/>
    <w:rsid w:val="00A465CD"/>
    <w:rsid w:val="00A50519"/>
    <w:rsid w:val="00A510B6"/>
    <w:rsid w:val="00A525EF"/>
    <w:rsid w:val="00A57702"/>
    <w:rsid w:val="00A6005C"/>
    <w:rsid w:val="00A67CF7"/>
    <w:rsid w:val="00A73152"/>
    <w:rsid w:val="00A743E4"/>
    <w:rsid w:val="00A746AB"/>
    <w:rsid w:val="00A75E70"/>
    <w:rsid w:val="00A81546"/>
    <w:rsid w:val="00A81648"/>
    <w:rsid w:val="00A849F3"/>
    <w:rsid w:val="00A863D9"/>
    <w:rsid w:val="00A910A2"/>
    <w:rsid w:val="00AA2CD5"/>
    <w:rsid w:val="00AA54E4"/>
    <w:rsid w:val="00AA6C35"/>
    <w:rsid w:val="00AB0180"/>
    <w:rsid w:val="00AB1A29"/>
    <w:rsid w:val="00AB3871"/>
    <w:rsid w:val="00AC2646"/>
    <w:rsid w:val="00AC48D1"/>
    <w:rsid w:val="00AC4A91"/>
    <w:rsid w:val="00AD37F2"/>
    <w:rsid w:val="00AD4CD9"/>
    <w:rsid w:val="00AD5D54"/>
    <w:rsid w:val="00AE13DB"/>
    <w:rsid w:val="00AE3809"/>
    <w:rsid w:val="00AE4BFE"/>
    <w:rsid w:val="00AE5013"/>
    <w:rsid w:val="00AE5D93"/>
    <w:rsid w:val="00AE7C77"/>
    <w:rsid w:val="00AF121D"/>
    <w:rsid w:val="00AF1DBB"/>
    <w:rsid w:val="00AF56AA"/>
    <w:rsid w:val="00AF6A2D"/>
    <w:rsid w:val="00B004AF"/>
    <w:rsid w:val="00B01B55"/>
    <w:rsid w:val="00B04AA0"/>
    <w:rsid w:val="00B05014"/>
    <w:rsid w:val="00B0617D"/>
    <w:rsid w:val="00B106EF"/>
    <w:rsid w:val="00B14B26"/>
    <w:rsid w:val="00B166B5"/>
    <w:rsid w:val="00B17765"/>
    <w:rsid w:val="00B20C94"/>
    <w:rsid w:val="00B21449"/>
    <w:rsid w:val="00B25FBC"/>
    <w:rsid w:val="00B32059"/>
    <w:rsid w:val="00B32E6D"/>
    <w:rsid w:val="00B343B2"/>
    <w:rsid w:val="00B401D1"/>
    <w:rsid w:val="00B415E8"/>
    <w:rsid w:val="00B42614"/>
    <w:rsid w:val="00B55195"/>
    <w:rsid w:val="00B55306"/>
    <w:rsid w:val="00B55A38"/>
    <w:rsid w:val="00B560BF"/>
    <w:rsid w:val="00B6472F"/>
    <w:rsid w:val="00B66C55"/>
    <w:rsid w:val="00B730AF"/>
    <w:rsid w:val="00B74AF7"/>
    <w:rsid w:val="00B74E51"/>
    <w:rsid w:val="00B77409"/>
    <w:rsid w:val="00B8145F"/>
    <w:rsid w:val="00B90D61"/>
    <w:rsid w:val="00B95339"/>
    <w:rsid w:val="00B96130"/>
    <w:rsid w:val="00BA51C1"/>
    <w:rsid w:val="00BA6C7F"/>
    <w:rsid w:val="00BB063C"/>
    <w:rsid w:val="00BC278B"/>
    <w:rsid w:val="00BC2A9D"/>
    <w:rsid w:val="00BC5D41"/>
    <w:rsid w:val="00BC6430"/>
    <w:rsid w:val="00BD0A60"/>
    <w:rsid w:val="00BD2358"/>
    <w:rsid w:val="00BD30E5"/>
    <w:rsid w:val="00BD65C4"/>
    <w:rsid w:val="00BF1315"/>
    <w:rsid w:val="00BF44B7"/>
    <w:rsid w:val="00C150D8"/>
    <w:rsid w:val="00C16B28"/>
    <w:rsid w:val="00C171FA"/>
    <w:rsid w:val="00C21D21"/>
    <w:rsid w:val="00C3400D"/>
    <w:rsid w:val="00C4006C"/>
    <w:rsid w:val="00C51BF7"/>
    <w:rsid w:val="00C532CA"/>
    <w:rsid w:val="00C54B88"/>
    <w:rsid w:val="00C60E0A"/>
    <w:rsid w:val="00C61DE3"/>
    <w:rsid w:val="00C630B3"/>
    <w:rsid w:val="00C64200"/>
    <w:rsid w:val="00C71D62"/>
    <w:rsid w:val="00C77246"/>
    <w:rsid w:val="00C775D5"/>
    <w:rsid w:val="00C80779"/>
    <w:rsid w:val="00C8093F"/>
    <w:rsid w:val="00C819A9"/>
    <w:rsid w:val="00C823D5"/>
    <w:rsid w:val="00C855A2"/>
    <w:rsid w:val="00C85EC7"/>
    <w:rsid w:val="00CA278C"/>
    <w:rsid w:val="00CA293C"/>
    <w:rsid w:val="00CA542D"/>
    <w:rsid w:val="00CA697B"/>
    <w:rsid w:val="00CB2214"/>
    <w:rsid w:val="00CB39E4"/>
    <w:rsid w:val="00CC3251"/>
    <w:rsid w:val="00CC4729"/>
    <w:rsid w:val="00CC5ED7"/>
    <w:rsid w:val="00CD4C0F"/>
    <w:rsid w:val="00CD5E31"/>
    <w:rsid w:val="00CD5F02"/>
    <w:rsid w:val="00CE6F6A"/>
    <w:rsid w:val="00D00777"/>
    <w:rsid w:val="00D038D6"/>
    <w:rsid w:val="00D03A33"/>
    <w:rsid w:val="00D042F3"/>
    <w:rsid w:val="00D05CF6"/>
    <w:rsid w:val="00D0689C"/>
    <w:rsid w:val="00D1282A"/>
    <w:rsid w:val="00D12C73"/>
    <w:rsid w:val="00D15902"/>
    <w:rsid w:val="00D16675"/>
    <w:rsid w:val="00D203DF"/>
    <w:rsid w:val="00D238B8"/>
    <w:rsid w:val="00D24131"/>
    <w:rsid w:val="00D27719"/>
    <w:rsid w:val="00D3090D"/>
    <w:rsid w:val="00D33B85"/>
    <w:rsid w:val="00D3512F"/>
    <w:rsid w:val="00D43735"/>
    <w:rsid w:val="00D62E0F"/>
    <w:rsid w:val="00D76C75"/>
    <w:rsid w:val="00D84634"/>
    <w:rsid w:val="00D87EBB"/>
    <w:rsid w:val="00D953C7"/>
    <w:rsid w:val="00DA399B"/>
    <w:rsid w:val="00DA3F4C"/>
    <w:rsid w:val="00DA5263"/>
    <w:rsid w:val="00DB0F54"/>
    <w:rsid w:val="00DB3977"/>
    <w:rsid w:val="00DB7883"/>
    <w:rsid w:val="00DC1F5C"/>
    <w:rsid w:val="00DC459B"/>
    <w:rsid w:val="00DC573F"/>
    <w:rsid w:val="00DC7FC5"/>
    <w:rsid w:val="00DD5485"/>
    <w:rsid w:val="00DD7F76"/>
    <w:rsid w:val="00DE514E"/>
    <w:rsid w:val="00DE583B"/>
    <w:rsid w:val="00DE7641"/>
    <w:rsid w:val="00DF3B14"/>
    <w:rsid w:val="00DF3BD7"/>
    <w:rsid w:val="00DF748E"/>
    <w:rsid w:val="00E00825"/>
    <w:rsid w:val="00E011F3"/>
    <w:rsid w:val="00E03C15"/>
    <w:rsid w:val="00E043AA"/>
    <w:rsid w:val="00E04EA5"/>
    <w:rsid w:val="00E0544C"/>
    <w:rsid w:val="00E07E13"/>
    <w:rsid w:val="00E13217"/>
    <w:rsid w:val="00E17810"/>
    <w:rsid w:val="00E20A44"/>
    <w:rsid w:val="00E21ECD"/>
    <w:rsid w:val="00E2402B"/>
    <w:rsid w:val="00E306F0"/>
    <w:rsid w:val="00E32504"/>
    <w:rsid w:val="00E340C4"/>
    <w:rsid w:val="00E35A5B"/>
    <w:rsid w:val="00E36449"/>
    <w:rsid w:val="00E37817"/>
    <w:rsid w:val="00E401F2"/>
    <w:rsid w:val="00E40EC9"/>
    <w:rsid w:val="00E42E10"/>
    <w:rsid w:val="00E444DD"/>
    <w:rsid w:val="00E47B09"/>
    <w:rsid w:val="00E528D9"/>
    <w:rsid w:val="00E54773"/>
    <w:rsid w:val="00E56792"/>
    <w:rsid w:val="00E63459"/>
    <w:rsid w:val="00E63DA8"/>
    <w:rsid w:val="00E645D7"/>
    <w:rsid w:val="00E662AE"/>
    <w:rsid w:val="00E665D5"/>
    <w:rsid w:val="00E704DE"/>
    <w:rsid w:val="00E72A7C"/>
    <w:rsid w:val="00E756F1"/>
    <w:rsid w:val="00E920DD"/>
    <w:rsid w:val="00E97D9E"/>
    <w:rsid w:val="00EA31FB"/>
    <w:rsid w:val="00EB2FE8"/>
    <w:rsid w:val="00EB43D6"/>
    <w:rsid w:val="00EB4F68"/>
    <w:rsid w:val="00EB65EC"/>
    <w:rsid w:val="00EC1601"/>
    <w:rsid w:val="00EC1A37"/>
    <w:rsid w:val="00EC1D9A"/>
    <w:rsid w:val="00EC28A3"/>
    <w:rsid w:val="00EC3268"/>
    <w:rsid w:val="00EC693A"/>
    <w:rsid w:val="00EC7BB4"/>
    <w:rsid w:val="00ED61E0"/>
    <w:rsid w:val="00ED6DA7"/>
    <w:rsid w:val="00EE2477"/>
    <w:rsid w:val="00EE5E9D"/>
    <w:rsid w:val="00EE6D01"/>
    <w:rsid w:val="00EE7689"/>
    <w:rsid w:val="00EF78D7"/>
    <w:rsid w:val="00F03EFB"/>
    <w:rsid w:val="00F06DA0"/>
    <w:rsid w:val="00F1214C"/>
    <w:rsid w:val="00F1407E"/>
    <w:rsid w:val="00F14BA3"/>
    <w:rsid w:val="00F21E7B"/>
    <w:rsid w:val="00F24A24"/>
    <w:rsid w:val="00F26982"/>
    <w:rsid w:val="00F3099A"/>
    <w:rsid w:val="00F30A38"/>
    <w:rsid w:val="00F377DF"/>
    <w:rsid w:val="00F41A9D"/>
    <w:rsid w:val="00F43CA9"/>
    <w:rsid w:val="00F43E81"/>
    <w:rsid w:val="00F44BF1"/>
    <w:rsid w:val="00F55439"/>
    <w:rsid w:val="00F61F14"/>
    <w:rsid w:val="00F70123"/>
    <w:rsid w:val="00F7053D"/>
    <w:rsid w:val="00F70E6D"/>
    <w:rsid w:val="00F72453"/>
    <w:rsid w:val="00F72BC5"/>
    <w:rsid w:val="00F7664C"/>
    <w:rsid w:val="00F836E3"/>
    <w:rsid w:val="00F83ED5"/>
    <w:rsid w:val="00F851C6"/>
    <w:rsid w:val="00F862C6"/>
    <w:rsid w:val="00F87B7F"/>
    <w:rsid w:val="00F9229E"/>
    <w:rsid w:val="00FA0BB9"/>
    <w:rsid w:val="00FB6D0B"/>
    <w:rsid w:val="00FD497B"/>
    <w:rsid w:val="00FD577F"/>
    <w:rsid w:val="00FD5FAF"/>
    <w:rsid w:val="00FF2FD5"/>
    <w:rsid w:val="00FF70CB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1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4BF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0544C"/>
    <w:pPr>
      <w:ind w:firstLine="126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544C"/>
    <w:rPr>
      <w:rFonts w:ascii="Times New Roman" w:eastAsia="Times New Roman" w:hAnsi="Times New Roman" w:cs="Times New Roman"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447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4475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C25A2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C2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EE2477"/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E528D9"/>
    <w:rPr>
      <w:i/>
      <w:iCs/>
    </w:rPr>
  </w:style>
  <w:style w:type="character" w:customStyle="1" w:styleId="apple-converted-space">
    <w:name w:val="apple-converted-space"/>
    <w:basedOn w:val="Fontepargpadro"/>
    <w:rsid w:val="00A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1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6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68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oleObject" Target="embeddings/oleObject2.bin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ricci\Downloads\MODELO%20MEMO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CDBE-E922-4DE8-AB01-75BD472D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MEMO 2015</Template>
  <TotalTime>1</TotalTime>
  <Pages>2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fatimaricci</dc:creator>
  <cp:lastModifiedBy>marialuciley</cp:lastModifiedBy>
  <cp:revision>2</cp:revision>
  <cp:lastPrinted>2018-08-07T14:32:00Z</cp:lastPrinted>
  <dcterms:created xsi:type="dcterms:W3CDTF">2019-01-23T19:45:00Z</dcterms:created>
  <dcterms:modified xsi:type="dcterms:W3CDTF">2019-01-23T19:45:00Z</dcterms:modified>
</cp:coreProperties>
</file>